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63" w:rsidRDefault="0030643A" w:rsidP="00165DB5">
      <w:pPr>
        <w:rPr>
          <w:rFonts w:ascii="Garamond" w:hAnsi="Garamond"/>
          <w:sz w:val="25"/>
          <w:szCs w:val="25"/>
        </w:rPr>
      </w:pPr>
      <w:proofErr w:type="spellStart"/>
      <w:r w:rsidRPr="004E7863">
        <w:rPr>
          <w:rFonts w:ascii="Garamond" w:hAnsi="Garamond"/>
          <w:sz w:val="25"/>
          <w:szCs w:val="25"/>
        </w:rPr>
        <w:t>Pro</w:t>
      </w:r>
      <w:r w:rsidR="00DC7995" w:rsidRPr="004E7863">
        <w:rPr>
          <w:rFonts w:ascii="Garamond" w:hAnsi="Garamond"/>
          <w:sz w:val="25"/>
          <w:szCs w:val="25"/>
        </w:rPr>
        <w:t>g</w:t>
      </w:r>
      <w:proofErr w:type="spellEnd"/>
      <w:r w:rsidRPr="004E7863">
        <w:rPr>
          <w:rFonts w:ascii="Garamond" w:hAnsi="Garamond"/>
          <w:sz w:val="25"/>
          <w:szCs w:val="25"/>
        </w:rPr>
        <w:t>. n.</w:t>
      </w:r>
      <w:r w:rsidR="004E7863">
        <w:rPr>
          <w:rFonts w:ascii="Garamond" w:hAnsi="Garamond"/>
          <w:sz w:val="25"/>
          <w:szCs w:val="25"/>
        </w:rPr>
        <w:t xml:space="preserve"> 0</w:t>
      </w:r>
      <w:r w:rsidR="00AE2C20">
        <w:rPr>
          <w:rFonts w:ascii="Garamond" w:hAnsi="Garamond"/>
          <w:sz w:val="25"/>
          <w:szCs w:val="25"/>
        </w:rPr>
        <w:t>40</w:t>
      </w:r>
      <w:r w:rsidR="004E7863">
        <w:rPr>
          <w:rFonts w:ascii="Garamond" w:hAnsi="Garamond"/>
          <w:sz w:val="25"/>
          <w:szCs w:val="25"/>
        </w:rPr>
        <w:t>/20/DG/FF</w:t>
      </w:r>
    </w:p>
    <w:p w:rsidR="004E7863" w:rsidRPr="004E7863" w:rsidRDefault="0030643A" w:rsidP="00165DB5">
      <w:pPr>
        <w:spacing w:after="0"/>
        <w:rPr>
          <w:rFonts w:ascii="Garamond" w:hAnsi="Garamond" w:cs="Arial"/>
          <w:sz w:val="24"/>
          <w:szCs w:val="24"/>
          <w:lang w:eastAsia="en-US"/>
        </w:rPr>
      </w:pPr>
      <w:r w:rsidRPr="004E7863">
        <w:rPr>
          <w:rFonts w:ascii="Garamond" w:hAnsi="Garamond"/>
          <w:sz w:val="25"/>
          <w:szCs w:val="25"/>
        </w:rPr>
        <w:t xml:space="preserve">Venezia </w:t>
      </w:r>
      <w:r w:rsidR="00AE2C20">
        <w:rPr>
          <w:rFonts w:ascii="Garamond" w:hAnsi="Garamond"/>
          <w:sz w:val="25"/>
          <w:szCs w:val="25"/>
        </w:rPr>
        <w:t>26</w:t>
      </w:r>
      <w:r w:rsidR="00A54881">
        <w:rPr>
          <w:rFonts w:ascii="Garamond" w:hAnsi="Garamond"/>
          <w:sz w:val="25"/>
          <w:szCs w:val="25"/>
        </w:rPr>
        <w:t xml:space="preserve"> </w:t>
      </w:r>
      <w:proofErr w:type="gramStart"/>
      <w:r w:rsidR="007E64B8">
        <w:rPr>
          <w:rFonts w:ascii="Garamond" w:hAnsi="Garamond"/>
          <w:sz w:val="25"/>
          <w:szCs w:val="25"/>
        </w:rPr>
        <w:t>Giugno</w:t>
      </w:r>
      <w:proofErr w:type="gramEnd"/>
      <w:r w:rsidR="0091355F">
        <w:rPr>
          <w:rFonts w:ascii="Garamond" w:hAnsi="Garamond"/>
          <w:sz w:val="25"/>
          <w:szCs w:val="25"/>
        </w:rPr>
        <w:t xml:space="preserve"> 2020</w:t>
      </w:r>
      <w:r w:rsidR="004E7863">
        <w:rPr>
          <w:rFonts w:ascii="Garamond" w:hAnsi="Garamond"/>
          <w:sz w:val="25"/>
          <w:szCs w:val="25"/>
        </w:rPr>
        <w:tab/>
      </w:r>
      <w:r w:rsidR="004E7863">
        <w:rPr>
          <w:rFonts w:ascii="Garamond" w:hAnsi="Garamond"/>
          <w:sz w:val="25"/>
          <w:szCs w:val="25"/>
        </w:rPr>
        <w:tab/>
      </w:r>
      <w:r w:rsidR="004E7863">
        <w:rPr>
          <w:rFonts w:ascii="Garamond" w:hAnsi="Garamond"/>
          <w:sz w:val="25"/>
          <w:szCs w:val="25"/>
        </w:rPr>
        <w:tab/>
      </w:r>
      <w:r w:rsidR="004E7863">
        <w:rPr>
          <w:rFonts w:ascii="Garamond" w:hAnsi="Garamond"/>
          <w:sz w:val="25"/>
          <w:szCs w:val="25"/>
        </w:rPr>
        <w:tab/>
      </w:r>
    </w:p>
    <w:p w:rsidR="004E7863" w:rsidRPr="004E7863" w:rsidRDefault="004E7863" w:rsidP="00165DB5">
      <w:pPr>
        <w:suppressAutoHyphens w:val="0"/>
        <w:autoSpaceDN/>
        <w:spacing w:after="0"/>
        <w:ind w:right="566"/>
        <w:jc w:val="both"/>
        <w:textAlignment w:val="auto"/>
        <w:rPr>
          <w:rFonts w:ascii="Garamond" w:hAnsi="Garamond" w:cs="Arial"/>
          <w:i/>
          <w:sz w:val="25"/>
          <w:szCs w:val="25"/>
          <w:lang w:eastAsia="en-US"/>
        </w:rPr>
      </w:pP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  <w:r w:rsidRPr="004E7863">
        <w:rPr>
          <w:rFonts w:ascii="Garamond" w:hAnsi="Garamond" w:cs="Arial"/>
          <w:sz w:val="24"/>
          <w:szCs w:val="24"/>
          <w:lang w:eastAsia="en-US"/>
        </w:rPr>
        <w:tab/>
      </w:r>
    </w:p>
    <w:p w:rsidR="004E7863" w:rsidRDefault="004E7863" w:rsidP="00165DB5">
      <w:pPr>
        <w:rPr>
          <w:rFonts w:ascii="Garamond" w:hAnsi="Garamond"/>
          <w:b/>
          <w:i/>
          <w:sz w:val="25"/>
          <w:szCs w:val="25"/>
        </w:rPr>
      </w:pPr>
    </w:p>
    <w:p w:rsidR="00170459" w:rsidRPr="00170459" w:rsidRDefault="00170459" w:rsidP="00165DB5">
      <w:pPr>
        <w:jc w:val="both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 xml:space="preserve">Oggetto: </w:t>
      </w:r>
      <w:r w:rsidR="00165DB5">
        <w:rPr>
          <w:rFonts w:ascii="Garamond" w:hAnsi="Garamond"/>
          <w:b/>
          <w:sz w:val="25"/>
          <w:szCs w:val="25"/>
        </w:rPr>
        <w:t xml:space="preserve">Determina </w:t>
      </w:r>
      <w:r w:rsidR="00AE2C20">
        <w:rPr>
          <w:rFonts w:ascii="Garamond" w:hAnsi="Garamond"/>
          <w:b/>
          <w:sz w:val="25"/>
          <w:szCs w:val="25"/>
        </w:rPr>
        <w:t xml:space="preserve">acquisto gel igienizzante per le mani </w:t>
      </w:r>
      <w:r>
        <w:rPr>
          <w:rFonts w:ascii="Garamond" w:hAnsi="Garamond"/>
          <w:b/>
          <w:sz w:val="25"/>
          <w:szCs w:val="25"/>
        </w:rPr>
        <w:t xml:space="preserve">  </w:t>
      </w:r>
    </w:p>
    <w:p w:rsidR="00170459" w:rsidRDefault="00170459" w:rsidP="00165DB5">
      <w:pPr>
        <w:suppressAutoHyphens w:val="0"/>
        <w:autoSpaceDN/>
        <w:spacing w:after="0"/>
        <w:textAlignment w:val="auto"/>
        <w:rPr>
          <w:rFonts w:ascii="Garamond" w:hAnsi="Garamond"/>
          <w:sz w:val="25"/>
          <w:szCs w:val="25"/>
        </w:rPr>
      </w:pPr>
    </w:p>
    <w:p w:rsidR="00165DB5" w:rsidRDefault="00165DB5" w:rsidP="00165DB5">
      <w:pPr>
        <w:ind w:right="-1"/>
        <w:jc w:val="both"/>
        <w:rPr>
          <w:rFonts w:ascii="Garamond" w:hAnsi="Garamond"/>
          <w:sz w:val="25"/>
          <w:szCs w:val="25"/>
        </w:rPr>
      </w:pPr>
      <w:r w:rsidRPr="00165DB5">
        <w:rPr>
          <w:rFonts w:ascii="Garamond" w:hAnsi="Garamond"/>
          <w:b/>
          <w:bCs/>
          <w:sz w:val="25"/>
          <w:szCs w:val="25"/>
        </w:rPr>
        <w:t>Richiamate</w:t>
      </w:r>
      <w:r w:rsidRPr="00165DB5">
        <w:rPr>
          <w:rFonts w:ascii="Garamond" w:hAnsi="Garamond"/>
          <w:sz w:val="25"/>
          <w:szCs w:val="25"/>
        </w:rPr>
        <w:t xml:space="preserve"> le deliberazioni Assembleari del 29/11/2017 e del 16/10/2018 con cui è stato conferito e successivamente confermato l’incarico di Direttore Generale al Dott. Nicola Cattozzo fino al 30 settembre 2020;</w:t>
      </w:r>
    </w:p>
    <w:p w:rsidR="008233FB" w:rsidRDefault="0054301A" w:rsidP="008233FB">
      <w:pPr>
        <w:spacing w:after="0"/>
        <w:ind w:right="-1"/>
        <w:jc w:val="both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PREMESSO</w:t>
      </w:r>
      <w:r w:rsidR="008233FB" w:rsidRPr="008233FB">
        <w:rPr>
          <w:rFonts w:ascii="Garamond" w:hAnsi="Garamond"/>
          <w:b/>
          <w:bCs/>
          <w:sz w:val="25"/>
          <w:szCs w:val="25"/>
        </w:rPr>
        <w:t xml:space="preserve"> che</w:t>
      </w:r>
      <w:r w:rsidR="008233FB">
        <w:rPr>
          <w:rFonts w:ascii="Garamond" w:hAnsi="Garamond"/>
          <w:b/>
          <w:bCs/>
          <w:sz w:val="25"/>
          <w:szCs w:val="25"/>
        </w:rPr>
        <w:t>:</w:t>
      </w:r>
    </w:p>
    <w:p w:rsidR="008233FB" w:rsidRDefault="008233FB" w:rsidP="007117AF">
      <w:pPr>
        <w:pStyle w:val="Paragrafoelenco"/>
        <w:numPr>
          <w:ilvl w:val="0"/>
          <w:numId w:val="15"/>
        </w:numPr>
        <w:spacing w:after="0"/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sz w:val="25"/>
          <w:szCs w:val="25"/>
        </w:rPr>
        <w:t xml:space="preserve">a seguito del repentino diffondersi della infezione da virus COVID-19 e della conseguente emergenza epidemiologica A.M.E.S. S.p.A. ha avuto la necessità di acquisire dispositivi di protezione individuale e gel igienizzante per le mani da distribuire al proprio personale e da destinare alla vendita per la cittadinanza del Comune di Venezia attraverso il canale delle farmacie; </w:t>
      </w:r>
    </w:p>
    <w:p w:rsidR="008233FB" w:rsidRDefault="008233FB" w:rsidP="007117AF">
      <w:pPr>
        <w:pStyle w:val="Paragrafoelenco"/>
        <w:numPr>
          <w:ilvl w:val="0"/>
          <w:numId w:val="15"/>
        </w:numPr>
        <w:spacing w:after="0"/>
        <w:ind w:right="-1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Nella fase del </w:t>
      </w:r>
      <w:proofErr w:type="spellStart"/>
      <w:r>
        <w:rPr>
          <w:rFonts w:ascii="Garamond" w:hAnsi="Garamond"/>
          <w:sz w:val="25"/>
          <w:szCs w:val="25"/>
        </w:rPr>
        <w:t>lockdown</w:t>
      </w:r>
      <w:proofErr w:type="spellEnd"/>
      <w:r>
        <w:rPr>
          <w:rFonts w:ascii="Garamond" w:hAnsi="Garamond"/>
          <w:sz w:val="25"/>
          <w:szCs w:val="25"/>
        </w:rPr>
        <w:t xml:space="preserve"> vi era grave penuria dei sopracitati prodotti, per l’inevitabile esplosione di richieste di materiale la cui offerta è risultata totalmente inadeguata, né il ricorso a produzione estera ha ovviato al problema a causa dei blocchi alle frontiere e conseguenti sequestr</w:t>
      </w:r>
      <w:r w:rsidR="0054301A">
        <w:rPr>
          <w:rFonts w:ascii="Garamond" w:hAnsi="Garamond"/>
          <w:sz w:val="25"/>
          <w:szCs w:val="25"/>
        </w:rPr>
        <w:t xml:space="preserve">i </w:t>
      </w:r>
      <w:r>
        <w:rPr>
          <w:rFonts w:ascii="Garamond" w:hAnsi="Garamond"/>
          <w:sz w:val="25"/>
          <w:szCs w:val="25"/>
        </w:rPr>
        <w:t>per la destinazione di tali prodotti alla Protezione civile;</w:t>
      </w:r>
    </w:p>
    <w:p w:rsidR="00560A98" w:rsidRDefault="00273513" w:rsidP="007117AF">
      <w:pPr>
        <w:pStyle w:val="Paragrafoelenco"/>
        <w:numPr>
          <w:ilvl w:val="0"/>
          <w:numId w:val="15"/>
        </w:numPr>
        <w:spacing w:after="0"/>
        <w:ind w:right="-1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Per affrontare tale emergenza la farmacia n. 18 di Salzano è stata incaricata di produrre gel igienizzante;</w:t>
      </w:r>
    </w:p>
    <w:p w:rsidR="00273513" w:rsidRDefault="00273513" w:rsidP="007117AF">
      <w:pPr>
        <w:pStyle w:val="Paragrafoelenco"/>
        <w:numPr>
          <w:ilvl w:val="0"/>
          <w:numId w:val="15"/>
        </w:numPr>
        <w:spacing w:after="0"/>
        <w:ind w:right="-1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Era </w:t>
      </w:r>
      <w:r w:rsidR="00F7301E">
        <w:rPr>
          <w:rFonts w:ascii="Garamond" w:hAnsi="Garamond"/>
          <w:sz w:val="25"/>
          <w:szCs w:val="25"/>
        </w:rPr>
        <w:t>necessario</w:t>
      </w:r>
      <w:r>
        <w:rPr>
          <w:rFonts w:ascii="Garamond" w:hAnsi="Garamond"/>
          <w:sz w:val="25"/>
          <w:szCs w:val="25"/>
        </w:rPr>
        <w:t xml:space="preserve"> reperire flaconi per</w:t>
      </w:r>
      <w:r w:rsidR="00F7301E">
        <w:rPr>
          <w:rFonts w:ascii="Garamond" w:hAnsi="Garamond"/>
          <w:sz w:val="25"/>
          <w:szCs w:val="25"/>
        </w:rPr>
        <w:t xml:space="preserve"> il gel prodotto dalla farmacia;</w:t>
      </w:r>
      <w:r>
        <w:rPr>
          <w:rFonts w:ascii="Garamond" w:hAnsi="Garamond"/>
          <w:sz w:val="25"/>
          <w:szCs w:val="25"/>
        </w:rPr>
        <w:t xml:space="preserve"> </w:t>
      </w:r>
    </w:p>
    <w:p w:rsidR="00560A98" w:rsidRPr="00273513" w:rsidRDefault="00560A98" w:rsidP="001459D3">
      <w:pPr>
        <w:pStyle w:val="Paragrafoelenco"/>
        <w:numPr>
          <w:ilvl w:val="0"/>
          <w:numId w:val="15"/>
        </w:numPr>
        <w:ind w:right="-1"/>
        <w:jc w:val="both"/>
        <w:rPr>
          <w:rFonts w:ascii="Garamond" w:hAnsi="Garamond"/>
          <w:sz w:val="25"/>
          <w:szCs w:val="25"/>
        </w:rPr>
      </w:pPr>
      <w:r w:rsidRPr="00273513">
        <w:rPr>
          <w:rFonts w:ascii="Garamond" w:hAnsi="Garamond"/>
          <w:sz w:val="25"/>
          <w:szCs w:val="25"/>
        </w:rPr>
        <w:t>I</w:t>
      </w:r>
      <w:r w:rsidR="008233FB" w:rsidRPr="00273513">
        <w:rPr>
          <w:rFonts w:ascii="Garamond" w:hAnsi="Garamond"/>
          <w:sz w:val="25"/>
          <w:szCs w:val="25"/>
        </w:rPr>
        <w:t xml:space="preserve">n questa fase di </w:t>
      </w:r>
      <w:r w:rsidR="0054301A" w:rsidRPr="00273513">
        <w:rPr>
          <w:rFonts w:ascii="Garamond" w:hAnsi="Garamond"/>
          <w:sz w:val="25"/>
          <w:szCs w:val="25"/>
        </w:rPr>
        <w:t>conclamata emergenza si è fatto ricorso ad acquisizione di prodotti mediante affidamenti in via di urgenza;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ATTESO che </w:t>
      </w:r>
      <w:r w:rsidRPr="008233FB">
        <w:rPr>
          <w:rFonts w:ascii="Garamond" w:hAnsi="Garamond"/>
          <w:sz w:val="25"/>
          <w:szCs w:val="25"/>
        </w:rPr>
        <w:t xml:space="preserve">ai sensi dell’articolo 32, comma 2, del D. Lgs. 50/2016: </w:t>
      </w:r>
    </w:p>
    <w:p w:rsidR="008233FB" w:rsidRPr="008233FB" w:rsidRDefault="008233FB" w:rsidP="00F7301E">
      <w:pPr>
        <w:spacing w:after="0"/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Segoe UI Symbol" w:hAnsi="Segoe UI Symbol" w:cs="Segoe UI Symbol"/>
          <w:sz w:val="25"/>
          <w:szCs w:val="25"/>
        </w:rPr>
        <w:t>➢</w:t>
      </w:r>
      <w:r w:rsidRPr="008233FB">
        <w:rPr>
          <w:rFonts w:ascii="Garamond" w:hAnsi="Garamond"/>
          <w:sz w:val="25"/>
          <w:szCs w:val="25"/>
        </w:rPr>
        <w:t xml:space="preserve"> Il fine del contratto è quello di provvedere all’affidamento di</w:t>
      </w:r>
      <w:r w:rsidR="00560A98">
        <w:rPr>
          <w:rFonts w:ascii="Garamond" w:hAnsi="Garamond"/>
          <w:sz w:val="25"/>
          <w:szCs w:val="25"/>
        </w:rPr>
        <w:t xml:space="preserve"> flaconi per contenere</w:t>
      </w:r>
      <w:r w:rsidRPr="008233FB">
        <w:rPr>
          <w:rFonts w:ascii="Garamond" w:hAnsi="Garamond"/>
          <w:sz w:val="25"/>
          <w:szCs w:val="25"/>
        </w:rPr>
        <w:t xml:space="preserve"> </w:t>
      </w:r>
      <w:r w:rsidR="0054301A">
        <w:rPr>
          <w:rFonts w:ascii="Garamond" w:hAnsi="Garamond"/>
          <w:sz w:val="25"/>
          <w:szCs w:val="25"/>
        </w:rPr>
        <w:t xml:space="preserve">gel igienizzante </w:t>
      </w:r>
      <w:r w:rsidR="00560A98">
        <w:rPr>
          <w:rFonts w:ascii="Garamond" w:hAnsi="Garamond"/>
          <w:sz w:val="25"/>
          <w:szCs w:val="25"/>
        </w:rPr>
        <w:t xml:space="preserve">prodotto dalla farmacia di Salzano </w:t>
      </w:r>
      <w:r w:rsidR="00215C85">
        <w:rPr>
          <w:rFonts w:ascii="Garamond" w:hAnsi="Garamond"/>
          <w:sz w:val="25"/>
          <w:szCs w:val="25"/>
        </w:rPr>
        <w:t xml:space="preserve">quale </w:t>
      </w:r>
      <w:r w:rsidR="007117AF">
        <w:rPr>
          <w:rFonts w:ascii="Garamond" w:hAnsi="Garamond"/>
          <w:sz w:val="25"/>
          <w:szCs w:val="25"/>
        </w:rPr>
        <w:t>dispositivo di</w:t>
      </w:r>
      <w:r w:rsidR="00215C85">
        <w:rPr>
          <w:rFonts w:ascii="Garamond" w:hAnsi="Garamond"/>
          <w:sz w:val="25"/>
          <w:szCs w:val="25"/>
        </w:rPr>
        <w:t xml:space="preserve"> protezione a fronte dell’emergenza epidemiologica da COVID-19</w:t>
      </w:r>
      <w:r w:rsidRPr="008233FB">
        <w:rPr>
          <w:rFonts w:ascii="Garamond" w:hAnsi="Garamond"/>
          <w:sz w:val="25"/>
          <w:szCs w:val="25"/>
        </w:rPr>
        <w:t xml:space="preserve">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Segoe UI Symbol" w:hAnsi="Segoe UI Symbol" w:cs="Segoe UI Symbol"/>
          <w:sz w:val="25"/>
          <w:szCs w:val="25"/>
        </w:rPr>
        <w:t>➢</w:t>
      </w:r>
      <w:r w:rsidR="007117AF">
        <w:rPr>
          <w:rFonts w:ascii="Garamond" w:hAnsi="Garamond"/>
          <w:sz w:val="25"/>
          <w:szCs w:val="25"/>
        </w:rPr>
        <w:t>Il contratto si intende concluso con la consegna dei prodotti ordinati e l’accettazione dei prodotti da parte di AMES Spa;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VISTO </w:t>
      </w:r>
      <w:r w:rsidRPr="008233FB">
        <w:rPr>
          <w:rFonts w:ascii="Garamond" w:hAnsi="Garamond"/>
          <w:sz w:val="25"/>
          <w:szCs w:val="25"/>
        </w:rPr>
        <w:t xml:space="preserve">il </w:t>
      </w:r>
      <w:proofErr w:type="spellStart"/>
      <w:r w:rsidRPr="008233FB">
        <w:rPr>
          <w:rFonts w:ascii="Garamond" w:hAnsi="Garamond"/>
          <w:sz w:val="25"/>
          <w:szCs w:val="25"/>
        </w:rPr>
        <w:t>D.Lgs.</w:t>
      </w:r>
      <w:proofErr w:type="spellEnd"/>
      <w:r w:rsidRPr="008233FB">
        <w:rPr>
          <w:rFonts w:ascii="Garamond" w:hAnsi="Garamond"/>
          <w:sz w:val="25"/>
          <w:szCs w:val="25"/>
        </w:rPr>
        <w:t xml:space="preserve"> 50/2016, art. 36, comma 2: «le stazioni appaltanti procedono all’affidamento di lavori, servizi e forniture di importo inferiore alle soglie di cui all’articolo 35, secondo le seguenti modalità: </w:t>
      </w:r>
      <w:r w:rsidRPr="008233FB">
        <w:rPr>
          <w:rFonts w:ascii="Garamond" w:hAnsi="Garamond"/>
          <w:i/>
          <w:iCs/>
          <w:sz w:val="25"/>
          <w:szCs w:val="25"/>
        </w:rPr>
        <w:t xml:space="preserve">a) </w:t>
      </w:r>
      <w:r w:rsidRPr="008233FB">
        <w:rPr>
          <w:rFonts w:ascii="Garamond" w:hAnsi="Garamond"/>
          <w:sz w:val="25"/>
          <w:szCs w:val="25"/>
        </w:rPr>
        <w:t xml:space="preserve">per affidamenti di importo inferiore a 40.000 euro, mediante affidamento diretto, adeguatamente motivato»;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VISTO </w:t>
      </w:r>
      <w:r w:rsidRPr="008233FB">
        <w:rPr>
          <w:rFonts w:ascii="Garamond" w:hAnsi="Garamond"/>
          <w:sz w:val="25"/>
          <w:szCs w:val="25"/>
        </w:rPr>
        <w:t xml:space="preserve">Cons. Stato, commissione speciale, parere 13 settembre 2016, n. 1903/2016, ha ritenuto che la determinazione a contrattare, a differenza delle procedure negoziate di cui al </w:t>
      </w:r>
      <w:proofErr w:type="spellStart"/>
      <w:r w:rsidRPr="008233FB">
        <w:rPr>
          <w:rFonts w:ascii="Garamond" w:hAnsi="Garamond"/>
          <w:sz w:val="25"/>
          <w:szCs w:val="25"/>
        </w:rPr>
        <w:t>D.Lgs.</w:t>
      </w:r>
      <w:proofErr w:type="spellEnd"/>
      <w:r w:rsidRPr="008233FB">
        <w:rPr>
          <w:rFonts w:ascii="Garamond" w:hAnsi="Garamond"/>
          <w:sz w:val="25"/>
          <w:szCs w:val="25"/>
        </w:rPr>
        <w:t xml:space="preserve"> 50/2016, art. </w:t>
      </w:r>
      <w:r w:rsidRPr="008233FB">
        <w:rPr>
          <w:rFonts w:ascii="Garamond" w:hAnsi="Garamond"/>
          <w:sz w:val="25"/>
          <w:szCs w:val="25"/>
        </w:rPr>
        <w:lastRenderedPageBreak/>
        <w:t xml:space="preserve">36, comma 2, </w:t>
      </w:r>
      <w:proofErr w:type="spellStart"/>
      <w:r w:rsidRPr="008233FB">
        <w:rPr>
          <w:rFonts w:ascii="Garamond" w:hAnsi="Garamond"/>
          <w:sz w:val="25"/>
          <w:szCs w:val="25"/>
        </w:rPr>
        <w:t>lett</w:t>
      </w:r>
      <w:proofErr w:type="spellEnd"/>
      <w:r w:rsidRPr="008233FB">
        <w:rPr>
          <w:rFonts w:ascii="Garamond" w:hAnsi="Garamond"/>
          <w:sz w:val="25"/>
          <w:szCs w:val="25"/>
        </w:rPr>
        <w:t xml:space="preserve">, da </w:t>
      </w:r>
      <w:r w:rsidRPr="008233FB">
        <w:rPr>
          <w:rFonts w:ascii="Garamond" w:hAnsi="Garamond"/>
          <w:i/>
          <w:iCs/>
          <w:sz w:val="25"/>
          <w:szCs w:val="25"/>
        </w:rPr>
        <w:t xml:space="preserve">b) </w:t>
      </w:r>
      <w:r w:rsidRPr="008233FB">
        <w:rPr>
          <w:rFonts w:ascii="Garamond" w:hAnsi="Garamond"/>
          <w:sz w:val="25"/>
          <w:szCs w:val="25"/>
        </w:rPr>
        <w:t xml:space="preserve">a </w:t>
      </w:r>
      <w:r w:rsidRPr="008233FB">
        <w:rPr>
          <w:rFonts w:ascii="Garamond" w:hAnsi="Garamond"/>
          <w:i/>
          <w:iCs/>
          <w:sz w:val="25"/>
          <w:szCs w:val="25"/>
        </w:rPr>
        <w:t>c)</w:t>
      </w:r>
      <w:r w:rsidRPr="008233FB">
        <w:rPr>
          <w:rFonts w:ascii="Garamond" w:hAnsi="Garamond"/>
          <w:sz w:val="25"/>
          <w:szCs w:val="25"/>
        </w:rPr>
        <w:t>, possa essere unica e che quindi possa contestualmente sia riepilogare l’</w:t>
      </w:r>
      <w:r w:rsidRPr="008233FB">
        <w:rPr>
          <w:rFonts w:ascii="Garamond" w:hAnsi="Garamond"/>
          <w:i/>
          <w:iCs/>
          <w:sz w:val="25"/>
          <w:szCs w:val="25"/>
        </w:rPr>
        <w:t xml:space="preserve">iter </w:t>
      </w:r>
      <w:r w:rsidRPr="008233FB">
        <w:rPr>
          <w:rFonts w:ascii="Garamond" w:hAnsi="Garamond"/>
          <w:sz w:val="25"/>
          <w:szCs w:val="25"/>
        </w:rPr>
        <w:t xml:space="preserve">motivazionale seguito per la scelta del contraente rispetto alle evidenziate necessità della Società, sia recare l’efficace definitiva aggiudicazione, tutto ciò anche nella </w:t>
      </w:r>
      <w:r w:rsidRPr="008233FB">
        <w:rPr>
          <w:rFonts w:ascii="Garamond" w:hAnsi="Garamond"/>
          <w:i/>
          <w:iCs/>
          <w:sz w:val="25"/>
          <w:szCs w:val="25"/>
        </w:rPr>
        <w:t xml:space="preserve">ratio </w:t>
      </w:r>
      <w:r w:rsidRPr="008233FB">
        <w:rPr>
          <w:rFonts w:ascii="Garamond" w:hAnsi="Garamond"/>
          <w:sz w:val="25"/>
          <w:szCs w:val="25"/>
        </w:rPr>
        <w:t xml:space="preserve">di semplificazione e nel collegato principio di libertà delle forme che connotano l’«affidamento diretto»;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CONSIDERATO </w:t>
      </w:r>
      <w:r w:rsidRPr="008233FB">
        <w:rPr>
          <w:rFonts w:ascii="Garamond" w:hAnsi="Garamond"/>
          <w:sz w:val="25"/>
          <w:szCs w:val="25"/>
        </w:rPr>
        <w:t xml:space="preserve">che il richiamato D. Lgs. 50/2016, art. 36, comma 2, lett. </w:t>
      </w:r>
      <w:r w:rsidRPr="008233FB">
        <w:rPr>
          <w:rFonts w:ascii="Garamond" w:hAnsi="Garamond"/>
          <w:i/>
          <w:iCs/>
          <w:sz w:val="25"/>
          <w:szCs w:val="25"/>
        </w:rPr>
        <w:t>a)</w:t>
      </w:r>
      <w:r w:rsidRPr="008233FB">
        <w:rPr>
          <w:rFonts w:ascii="Garamond" w:hAnsi="Garamond"/>
          <w:sz w:val="25"/>
          <w:szCs w:val="25"/>
        </w:rPr>
        <w:t xml:space="preserve">, dà attuazione normativa al principio secondo cui per importi d’affidamento inferiori alla soglia comunitaria, laddove ricorra «un valore economico molto limitato» (Comunicazione interpretativa della Commissione, G.U.U.E., 1° agosto 2006, C/179, </w:t>
      </w:r>
      <w:proofErr w:type="spellStart"/>
      <w:r w:rsidRPr="008233FB">
        <w:rPr>
          <w:rFonts w:ascii="Garamond" w:hAnsi="Garamond"/>
          <w:sz w:val="25"/>
          <w:szCs w:val="25"/>
        </w:rPr>
        <w:t>sottoparagrafo</w:t>
      </w:r>
      <w:proofErr w:type="spellEnd"/>
      <w:r w:rsidRPr="008233FB">
        <w:rPr>
          <w:rFonts w:ascii="Garamond" w:hAnsi="Garamond"/>
          <w:sz w:val="25"/>
          <w:szCs w:val="25"/>
        </w:rPr>
        <w:t xml:space="preserve"> 1.3.), non occorre che sia comunque garantito il rispetto del principio della concorrenza per il mercato, richiesto invece per le procedure negoziate di cui al </w:t>
      </w:r>
      <w:proofErr w:type="spellStart"/>
      <w:r w:rsidRPr="008233FB">
        <w:rPr>
          <w:rFonts w:ascii="Garamond" w:hAnsi="Garamond"/>
          <w:sz w:val="25"/>
          <w:szCs w:val="25"/>
        </w:rPr>
        <w:t>D.Lgs.</w:t>
      </w:r>
      <w:proofErr w:type="spellEnd"/>
      <w:r w:rsidRPr="008233FB">
        <w:rPr>
          <w:rFonts w:ascii="Garamond" w:hAnsi="Garamond"/>
          <w:sz w:val="25"/>
          <w:szCs w:val="25"/>
        </w:rPr>
        <w:t xml:space="preserve"> 50/2016, art. 36, comma 2, </w:t>
      </w:r>
      <w:proofErr w:type="spellStart"/>
      <w:r w:rsidRPr="008233FB">
        <w:rPr>
          <w:rFonts w:ascii="Garamond" w:hAnsi="Garamond"/>
          <w:sz w:val="25"/>
          <w:szCs w:val="25"/>
        </w:rPr>
        <w:t>lett</w:t>
      </w:r>
      <w:proofErr w:type="spellEnd"/>
      <w:r w:rsidRPr="008233FB">
        <w:rPr>
          <w:rFonts w:ascii="Garamond" w:hAnsi="Garamond"/>
          <w:sz w:val="25"/>
          <w:szCs w:val="25"/>
        </w:rPr>
        <w:t xml:space="preserve">, da </w:t>
      </w:r>
      <w:r w:rsidRPr="008233FB">
        <w:rPr>
          <w:rFonts w:ascii="Garamond" w:hAnsi="Garamond"/>
          <w:i/>
          <w:iCs/>
          <w:sz w:val="25"/>
          <w:szCs w:val="25"/>
        </w:rPr>
        <w:t xml:space="preserve">b) </w:t>
      </w:r>
      <w:r w:rsidRPr="008233FB">
        <w:rPr>
          <w:rFonts w:ascii="Garamond" w:hAnsi="Garamond"/>
          <w:sz w:val="25"/>
          <w:szCs w:val="25"/>
        </w:rPr>
        <w:t xml:space="preserve">a </w:t>
      </w:r>
      <w:r w:rsidRPr="008233FB">
        <w:rPr>
          <w:rFonts w:ascii="Garamond" w:hAnsi="Garamond"/>
          <w:i/>
          <w:iCs/>
          <w:sz w:val="25"/>
          <w:szCs w:val="25"/>
        </w:rPr>
        <w:t>c)</w:t>
      </w:r>
      <w:r w:rsidRPr="008233FB">
        <w:rPr>
          <w:rFonts w:ascii="Garamond" w:hAnsi="Garamond"/>
          <w:sz w:val="25"/>
          <w:szCs w:val="25"/>
        </w:rPr>
        <w:t xml:space="preserve">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CONSIDERATO </w:t>
      </w:r>
      <w:r w:rsidRPr="008233FB">
        <w:rPr>
          <w:rFonts w:ascii="Garamond" w:hAnsi="Garamond"/>
          <w:sz w:val="25"/>
          <w:szCs w:val="25"/>
        </w:rPr>
        <w:t xml:space="preserve">comunque che nella fattispecie non ricorre «un interesse transfrontaliero certo in conformità ai criteri elaborati dalla Corte di Giustizia» (ANAC, linee guida n. 4, paragrafo 1.5, in </w:t>
      </w:r>
      <w:r w:rsidRPr="008233FB">
        <w:rPr>
          <w:rFonts w:ascii="Garamond" w:hAnsi="Garamond"/>
          <w:i/>
          <w:iCs/>
          <w:sz w:val="25"/>
          <w:szCs w:val="25"/>
        </w:rPr>
        <w:t xml:space="preserve">G.U. </w:t>
      </w:r>
      <w:r w:rsidRPr="008233FB">
        <w:rPr>
          <w:rFonts w:ascii="Garamond" w:hAnsi="Garamond"/>
          <w:sz w:val="25"/>
          <w:szCs w:val="25"/>
        </w:rPr>
        <w:t xml:space="preserve">23 novembre 2016, n. 274);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ATTESO che: </w:t>
      </w:r>
    </w:p>
    <w:p w:rsidR="008233FB" w:rsidRPr="008233FB" w:rsidRDefault="008233FB" w:rsidP="00560A98">
      <w:pPr>
        <w:spacing w:after="0"/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Segoe UI Symbol" w:hAnsi="Segoe UI Symbol" w:cs="Segoe UI Symbol"/>
          <w:sz w:val="25"/>
          <w:szCs w:val="25"/>
        </w:rPr>
        <w:t>➢</w:t>
      </w:r>
      <w:r w:rsidRPr="008233FB">
        <w:rPr>
          <w:rFonts w:ascii="Garamond" w:hAnsi="Garamond"/>
          <w:sz w:val="25"/>
          <w:szCs w:val="25"/>
        </w:rPr>
        <w:t xml:space="preserve"> va comunque garantito l’interesse-dovere di A.M.E.S. S.p.A. alla convenienza economica nell’acquisizione di una prestazione a titolo oneroso; </w:t>
      </w:r>
    </w:p>
    <w:p w:rsidR="008233FB" w:rsidRPr="008233FB" w:rsidRDefault="008233FB" w:rsidP="00560A98">
      <w:pPr>
        <w:spacing w:after="0"/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Segoe UI Symbol" w:hAnsi="Segoe UI Symbol" w:cs="Segoe UI Symbol"/>
          <w:sz w:val="25"/>
          <w:szCs w:val="25"/>
        </w:rPr>
        <w:t>➢</w:t>
      </w:r>
      <w:r w:rsidRPr="008233FB">
        <w:rPr>
          <w:rFonts w:ascii="Garamond" w:hAnsi="Garamond"/>
          <w:sz w:val="25"/>
          <w:szCs w:val="25"/>
        </w:rPr>
        <w:t xml:space="preserve"> la dovuta rilevanza di questo principio gioca su un piano diverso da quello della garanzia del principio concorrenziale, nel senso che il principio della convenienza può comunque essere garantito, anzi, a maggior ragione deve essere garantito proprio perché non c’è gara aperta a ogni possibile operatore economico;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Segoe UI Symbol" w:hAnsi="Segoe UI Symbol" w:cs="Segoe UI Symbol"/>
          <w:sz w:val="25"/>
          <w:szCs w:val="25"/>
        </w:rPr>
        <w:t>➢</w:t>
      </w:r>
      <w:r w:rsidRPr="008233FB">
        <w:rPr>
          <w:rFonts w:ascii="Garamond" w:hAnsi="Garamond"/>
          <w:sz w:val="25"/>
          <w:szCs w:val="25"/>
        </w:rPr>
        <w:t xml:space="preserve"> pur affermando il codice che l’«affidamento di lavori, servizi e forniture di importo inferiore alle soglie di cui all’articolo 35 avvengono nel rispetto dei principi di cui all’art. 30, comma 1», cioè dei principi fondamentali del Trattato (</w:t>
      </w:r>
      <w:proofErr w:type="spellStart"/>
      <w:r w:rsidRPr="008233FB">
        <w:rPr>
          <w:rFonts w:ascii="Garamond" w:hAnsi="Garamond"/>
          <w:sz w:val="25"/>
          <w:szCs w:val="25"/>
        </w:rPr>
        <w:t>D.Lgs.</w:t>
      </w:r>
      <w:proofErr w:type="spellEnd"/>
      <w:r w:rsidRPr="008233FB">
        <w:rPr>
          <w:rFonts w:ascii="Garamond" w:hAnsi="Garamond"/>
          <w:sz w:val="25"/>
          <w:szCs w:val="25"/>
        </w:rPr>
        <w:t xml:space="preserve"> 50/2016, art. 36, comma 1), la scelta del contraente non è però qui da assoggettarsi all’aggravamento procedurale </w:t>
      </w:r>
      <w:proofErr w:type="gramStart"/>
      <w:r w:rsidRPr="008233FB">
        <w:rPr>
          <w:rFonts w:ascii="Garamond" w:hAnsi="Garamond"/>
          <w:i/>
          <w:iCs/>
          <w:sz w:val="25"/>
          <w:szCs w:val="25"/>
        </w:rPr>
        <w:t>pro concorrenziale</w:t>
      </w:r>
      <w:proofErr w:type="gramEnd"/>
      <w:r w:rsidRPr="008233FB">
        <w:rPr>
          <w:rFonts w:ascii="Garamond" w:hAnsi="Garamond"/>
          <w:i/>
          <w:iCs/>
          <w:sz w:val="25"/>
          <w:szCs w:val="25"/>
        </w:rPr>
        <w:t xml:space="preserve"> </w:t>
      </w:r>
      <w:r w:rsidRPr="008233FB">
        <w:rPr>
          <w:rFonts w:ascii="Garamond" w:hAnsi="Garamond"/>
          <w:sz w:val="25"/>
          <w:szCs w:val="25"/>
        </w:rPr>
        <w:t xml:space="preserve">previsto invece dalla lett. </w:t>
      </w:r>
      <w:r w:rsidRPr="008233FB">
        <w:rPr>
          <w:rFonts w:ascii="Garamond" w:hAnsi="Garamond"/>
          <w:i/>
          <w:iCs/>
          <w:sz w:val="25"/>
          <w:szCs w:val="25"/>
        </w:rPr>
        <w:t xml:space="preserve">b) </w:t>
      </w:r>
      <w:r w:rsidRPr="008233FB">
        <w:rPr>
          <w:rFonts w:ascii="Garamond" w:hAnsi="Garamond"/>
          <w:sz w:val="25"/>
          <w:szCs w:val="25"/>
        </w:rPr>
        <w:t xml:space="preserve">del comma 2 del medesimo art. 36 del </w:t>
      </w:r>
      <w:proofErr w:type="spellStart"/>
      <w:r w:rsidRPr="008233FB">
        <w:rPr>
          <w:rFonts w:ascii="Garamond" w:hAnsi="Garamond"/>
          <w:sz w:val="25"/>
          <w:szCs w:val="25"/>
        </w:rPr>
        <w:t>D.Lgs.</w:t>
      </w:r>
      <w:proofErr w:type="spellEnd"/>
      <w:r w:rsidRPr="008233FB">
        <w:rPr>
          <w:rFonts w:ascii="Garamond" w:hAnsi="Garamond"/>
          <w:sz w:val="25"/>
          <w:szCs w:val="25"/>
        </w:rPr>
        <w:t xml:space="preserve"> 50/2016 e tutto ciò in quanto l’«affidamento diretto» costituisce proprio l’eccezione oggettiva rispetto alla suddetta regola </w:t>
      </w:r>
      <w:proofErr w:type="gramStart"/>
      <w:r w:rsidRPr="008233FB">
        <w:rPr>
          <w:rFonts w:ascii="Garamond" w:hAnsi="Garamond"/>
          <w:i/>
          <w:iCs/>
          <w:sz w:val="25"/>
          <w:szCs w:val="25"/>
        </w:rPr>
        <w:t>pro concorrenziale</w:t>
      </w:r>
      <w:proofErr w:type="gramEnd"/>
      <w:r w:rsidRPr="008233FB">
        <w:rPr>
          <w:rFonts w:ascii="Garamond" w:hAnsi="Garamond"/>
          <w:sz w:val="25"/>
          <w:szCs w:val="25"/>
        </w:rPr>
        <w:t xml:space="preserve">; </w:t>
      </w:r>
    </w:p>
    <w:p w:rsidR="008233FB" w:rsidRPr="008233FB" w:rsidRDefault="008233FB" w:rsidP="00560A98">
      <w:pPr>
        <w:spacing w:after="0"/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ATTESO </w:t>
      </w:r>
      <w:r w:rsidRPr="008233FB">
        <w:rPr>
          <w:rFonts w:ascii="Garamond" w:hAnsi="Garamond"/>
          <w:sz w:val="25"/>
          <w:szCs w:val="25"/>
        </w:rPr>
        <w:t xml:space="preserve">che l’individuazione degli operatori economici avviene secondo uno di due criteri motivazionali di fondo, anche in possibile combinazione fra di loro, e cioè: </w:t>
      </w:r>
    </w:p>
    <w:p w:rsidR="008233FB" w:rsidRPr="008233FB" w:rsidRDefault="008233FB" w:rsidP="00560A98">
      <w:pPr>
        <w:spacing w:after="0"/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Segoe UI Symbol" w:hAnsi="Segoe UI Symbol" w:cs="Segoe UI Symbol"/>
          <w:sz w:val="25"/>
          <w:szCs w:val="25"/>
        </w:rPr>
        <w:t>➢</w:t>
      </w:r>
      <w:r w:rsidRPr="008233FB">
        <w:rPr>
          <w:rFonts w:ascii="Garamond" w:hAnsi="Garamond"/>
          <w:sz w:val="25"/>
          <w:szCs w:val="25"/>
        </w:rPr>
        <w:t xml:space="preserve"> in base al canone della “passata esperienza”, per aver precedentemente l’operatore economico proceduto correttamente alla prestazione del servizio;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Segoe UI Symbol" w:hAnsi="Segoe UI Symbol" w:cs="Segoe UI Symbol"/>
          <w:sz w:val="25"/>
          <w:szCs w:val="25"/>
        </w:rPr>
        <w:t>➢</w:t>
      </w:r>
      <w:r w:rsidRPr="008233FB">
        <w:rPr>
          <w:rFonts w:ascii="Garamond" w:hAnsi="Garamond"/>
          <w:sz w:val="25"/>
          <w:szCs w:val="25"/>
        </w:rPr>
        <w:t xml:space="preserve"> «nel rispetto del principio di rotazione» generica (</w:t>
      </w:r>
      <w:proofErr w:type="spellStart"/>
      <w:r w:rsidRPr="008233FB">
        <w:rPr>
          <w:rFonts w:ascii="Garamond" w:hAnsi="Garamond"/>
          <w:sz w:val="25"/>
          <w:szCs w:val="25"/>
        </w:rPr>
        <w:t>D.Lgs.</w:t>
      </w:r>
      <w:proofErr w:type="spellEnd"/>
      <w:r w:rsidRPr="008233FB">
        <w:rPr>
          <w:rFonts w:ascii="Garamond" w:hAnsi="Garamond"/>
          <w:sz w:val="25"/>
          <w:szCs w:val="25"/>
        </w:rPr>
        <w:t xml:space="preserve"> 50/2016, art. 50, comma 1), per cui nel corso di un anno – in linea anche con i principi dell’anticorruzione – vengono contattati operatori economici che non siano sempre gli stessi, peraltro «ove esistenti» (in quanto, già ai sensi dell’art. 50, comma 2, lett. </w:t>
      </w:r>
      <w:r w:rsidRPr="008233FB">
        <w:rPr>
          <w:rFonts w:ascii="Garamond" w:hAnsi="Garamond"/>
          <w:i/>
          <w:iCs/>
          <w:sz w:val="25"/>
          <w:szCs w:val="25"/>
        </w:rPr>
        <w:t>b)</w:t>
      </w:r>
      <w:r w:rsidRPr="008233FB">
        <w:rPr>
          <w:rFonts w:ascii="Garamond" w:hAnsi="Garamond"/>
          <w:sz w:val="25"/>
          <w:szCs w:val="25"/>
        </w:rPr>
        <w:t xml:space="preserve">, possono anche darsi casi di difficile reperibilità degli operatori economici stessi);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CONSIDERATO </w:t>
      </w:r>
      <w:r w:rsidRPr="008233FB">
        <w:rPr>
          <w:rFonts w:ascii="Garamond" w:hAnsi="Garamond"/>
          <w:sz w:val="25"/>
          <w:szCs w:val="25"/>
        </w:rPr>
        <w:t xml:space="preserve">che </w:t>
      </w:r>
      <w:r w:rsidR="00560A98">
        <w:rPr>
          <w:rFonts w:ascii="Garamond" w:hAnsi="Garamond"/>
          <w:sz w:val="25"/>
          <w:szCs w:val="25"/>
        </w:rPr>
        <w:t xml:space="preserve">AMES </w:t>
      </w:r>
      <w:proofErr w:type="spellStart"/>
      <w:r w:rsidR="00560A98">
        <w:rPr>
          <w:rFonts w:ascii="Garamond" w:hAnsi="Garamond"/>
          <w:sz w:val="25"/>
          <w:szCs w:val="25"/>
        </w:rPr>
        <w:t>SpA</w:t>
      </w:r>
      <w:proofErr w:type="spellEnd"/>
      <w:r w:rsidR="00560A98">
        <w:rPr>
          <w:rFonts w:ascii="Garamond" w:hAnsi="Garamond"/>
          <w:sz w:val="25"/>
          <w:szCs w:val="25"/>
        </w:rPr>
        <w:t xml:space="preserve"> ha contattato per le vie brevi la società </w:t>
      </w:r>
      <w:r w:rsidR="00F7301E">
        <w:rPr>
          <w:rFonts w:ascii="Garamond" w:hAnsi="Garamond"/>
          <w:sz w:val="25"/>
          <w:szCs w:val="25"/>
        </w:rPr>
        <w:t xml:space="preserve">BMP Universal </w:t>
      </w:r>
      <w:proofErr w:type="spellStart"/>
      <w:r w:rsidR="00F7301E">
        <w:rPr>
          <w:rFonts w:ascii="Garamond" w:hAnsi="Garamond"/>
          <w:sz w:val="25"/>
          <w:szCs w:val="25"/>
        </w:rPr>
        <w:t>srl</w:t>
      </w:r>
      <w:proofErr w:type="spellEnd"/>
      <w:r w:rsidR="00F7301E">
        <w:rPr>
          <w:rFonts w:ascii="Garamond" w:hAnsi="Garamond"/>
          <w:sz w:val="25"/>
          <w:szCs w:val="25"/>
        </w:rPr>
        <w:t xml:space="preserve"> che ha fornito i flaconi necessari a contenere il gel igienizzante prodotto dalla farmacia per un valore complessivo di € 1.400,00 IVA esclusa;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ATTESO </w:t>
      </w:r>
      <w:r w:rsidRPr="008233FB">
        <w:rPr>
          <w:rFonts w:ascii="Garamond" w:hAnsi="Garamond"/>
          <w:sz w:val="25"/>
          <w:szCs w:val="25"/>
        </w:rPr>
        <w:t>che, rientrandosi negli «affidamenti di importo non superiore a 40.000 euro», è applicabile la stipulazione semplificata «mediante corrispondenza secondo l’uso del commercio consistente in un apposito scambio di lettere» (</w:t>
      </w:r>
      <w:proofErr w:type="spellStart"/>
      <w:r w:rsidRPr="008233FB">
        <w:rPr>
          <w:rFonts w:ascii="Garamond" w:hAnsi="Garamond"/>
          <w:sz w:val="25"/>
          <w:szCs w:val="25"/>
        </w:rPr>
        <w:t>D.Lgs.</w:t>
      </w:r>
      <w:proofErr w:type="spellEnd"/>
      <w:r w:rsidRPr="008233FB">
        <w:rPr>
          <w:rFonts w:ascii="Garamond" w:hAnsi="Garamond"/>
          <w:sz w:val="25"/>
          <w:szCs w:val="25"/>
        </w:rPr>
        <w:t xml:space="preserve"> 50/2016, art. 32, comma 14);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EVIDENZIATO </w:t>
      </w:r>
      <w:r w:rsidRPr="008233FB">
        <w:rPr>
          <w:rFonts w:ascii="Garamond" w:hAnsi="Garamond"/>
          <w:sz w:val="25"/>
          <w:szCs w:val="25"/>
        </w:rPr>
        <w:t xml:space="preserve">pertanto che questa Società ha garantito «in aderenza: </w:t>
      </w:r>
    </w:p>
    <w:p w:rsidR="008233FB" w:rsidRPr="008E1D8B" w:rsidRDefault="008233FB" w:rsidP="008E1D8B">
      <w:pPr>
        <w:pStyle w:val="Paragrafoelenco"/>
        <w:numPr>
          <w:ilvl w:val="0"/>
          <w:numId w:val="18"/>
        </w:numPr>
        <w:ind w:right="-1"/>
        <w:jc w:val="both"/>
        <w:rPr>
          <w:rFonts w:ascii="Garamond" w:hAnsi="Garamond"/>
          <w:sz w:val="25"/>
          <w:szCs w:val="25"/>
        </w:rPr>
      </w:pPr>
      <w:r w:rsidRPr="008E1D8B">
        <w:rPr>
          <w:rFonts w:ascii="Garamond" w:hAnsi="Garamond"/>
          <w:sz w:val="25"/>
          <w:szCs w:val="25"/>
        </w:rPr>
        <w:t xml:space="preserve">al principio di economicità, l’uso ottimale delle risorse da impiegare nello svolgimento della selezione ovvero nell’esecuzione del contratto; </w:t>
      </w:r>
    </w:p>
    <w:p w:rsidR="008233FB" w:rsidRPr="008E1D8B" w:rsidRDefault="008233FB" w:rsidP="008E1D8B">
      <w:pPr>
        <w:pStyle w:val="Paragrafoelenco"/>
        <w:numPr>
          <w:ilvl w:val="0"/>
          <w:numId w:val="18"/>
        </w:numPr>
        <w:ind w:right="-1"/>
        <w:jc w:val="both"/>
        <w:rPr>
          <w:rFonts w:ascii="Garamond" w:hAnsi="Garamond"/>
          <w:sz w:val="25"/>
          <w:szCs w:val="25"/>
        </w:rPr>
      </w:pPr>
      <w:r w:rsidRPr="008E1D8B">
        <w:rPr>
          <w:rFonts w:ascii="Garamond" w:hAnsi="Garamond"/>
          <w:sz w:val="25"/>
          <w:szCs w:val="25"/>
        </w:rPr>
        <w:t xml:space="preserve">al principio di efficacia, la congruità dei propri atti rispetto al conseguimento dello scopo e dell’interesse pubblico cui sono preordinati; </w:t>
      </w:r>
    </w:p>
    <w:p w:rsidR="008233FB" w:rsidRPr="008E1D8B" w:rsidRDefault="008233FB" w:rsidP="008E1D8B">
      <w:pPr>
        <w:pStyle w:val="Paragrafoelenco"/>
        <w:numPr>
          <w:ilvl w:val="0"/>
          <w:numId w:val="18"/>
        </w:numPr>
        <w:ind w:right="-1"/>
        <w:jc w:val="both"/>
        <w:rPr>
          <w:rFonts w:ascii="Garamond" w:hAnsi="Garamond"/>
          <w:sz w:val="25"/>
          <w:szCs w:val="25"/>
        </w:rPr>
      </w:pPr>
      <w:r w:rsidRPr="008E1D8B">
        <w:rPr>
          <w:rFonts w:ascii="Garamond" w:hAnsi="Garamond"/>
          <w:sz w:val="25"/>
          <w:szCs w:val="25"/>
        </w:rPr>
        <w:t xml:space="preserve">al principio di tempestività, l’esigenza di non dilatare la durata del procedimento di selezione del contraente in assenza di obiettive ragioni; </w:t>
      </w:r>
    </w:p>
    <w:p w:rsidR="008233FB" w:rsidRPr="008E1D8B" w:rsidRDefault="008233FB" w:rsidP="008E1D8B">
      <w:pPr>
        <w:pStyle w:val="Paragrafoelenco"/>
        <w:numPr>
          <w:ilvl w:val="0"/>
          <w:numId w:val="18"/>
        </w:numPr>
        <w:ind w:right="-1"/>
        <w:jc w:val="both"/>
        <w:rPr>
          <w:rFonts w:ascii="Garamond" w:hAnsi="Garamond"/>
          <w:sz w:val="25"/>
          <w:szCs w:val="25"/>
        </w:rPr>
      </w:pPr>
      <w:r w:rsidRPr="008E1D8B">
        <w:rPr>
          <w:rFonts w:ascii="Garamond" w:hAnsi="Garamond"/>
          <w:sz w:val="25"/>
          <w:szCs w:val="25"/>
        </w:rPr>
        <w:t xml:space="preserve">al principio di correttezza, una condotta leale ed improntata a buona fede, nella fase di affidamento; </w:t>
      </w:r>
    </w:p>
    <w:p w:rsidR="008233FB" w:rsidRPr="008E1D8B" w:rsidRDefault="008233FB" w:rsidP="008E1D8B">
      <w:pPr>
        <w:pStyle w:val="Paragrafoelenco"/>
        <w:numPr>
          <w:ilvl w:val="0"/>
          <w:numId w:val="18"/>
        </w:numPr>
        <w:ind w:right="-1"/>
        <w:jc w:val="both"/>
        <w:rPr>
          <w:rFonts w:ascii="Garamond" w:hAnsi="Garamond"/>
          <w:sz w:val="25"/>
          <w:szCs w:val="25"/>
        </w:rPr>
      </w:pPr>
      <w:r w:rsidRPr="008E1D8B">
        <w:rPr>
          <w:rFonts w:ascii="Garamond" w:hAnsi="Garamond"/>
          <w:sz w:val="25"/>
          <w:szCs w:val="25"/>
        </w:rPr>
        <w:t xml:space="preserve">al principio di proporzionalità, l’adeguatezza e idoneità dell’azione rispetto alle finalità e all’importo dell’affidamento; </w:t>
      </w:r>
    </w:p>
    <w:p w:rsidR="008233FB" w:rsidRPr="008233FB" w:rsidRDefault="008233FB" w:rsidP="008233FB">
      <w:pPr>
        <w:ind w:right="-1"/>
        <w:jc w:val="both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 xml:space="preserve">DATO ATTO </w:t>
      </w:r>
      <w:r w:rsidRPr="008233FB">
        <w:rPr>
          <w:rFonts w:ascii="Garamond" w:hAnsi="Garamond"/>
          <w:sz w:val="25"/>
          <w:szCs w:val="25"/>
        </w:rPr>
        <w:t>che non esistono convenzioni attive in Consip avente oggetto comparabile al</w:t>
      </w:r>
      <w:r w:rsidR="000041C7">
        <w:rPr>
          <w:rFonts w:ascii="Garamond" w:hAnsi="Garamond"/>
          <w:sz w:val="25"/>
          <w:szCs w:val="25"/>
        </w:rPr>
        <w:t xml:space="preserve">la fornitura </w:t>
      </w:r>
      <w:r w:rsidRPr="008233FB">
        <w:rPr>
          <w:rFonts w:ascii="Garamond" w:hAnsi="Garamond"/>
          <w:sz w:val="25"/>
          <w:szCs w:val="25"/>
        </w:rPr>
        <w:t xml:space="preserve">de quo; </w:t>
      </w:r>
    </w:p>
    <w:p w:rsidR="008233FB" w:rsidRPr="008233FB" w:rsidRDefault="008233FB" w:rsidP="000041C7">
      <w:pPr>
        <w:ind w:right="-1"/>
        <w:jc w:val="center"/>
        <w:rPr>
          <w:rFonts w:ascii="Garamond" w:hAnsi="Garamond"/>
          <w:sz w:val="25"/>
          <w:szCs w:val="25"/>
        </w:rPr>
      </w:pPr>
      <w:r w:rsidRPr="008233FB">
        <w:rPr>
          <w:rFonts w:ascii="Garamond" w:hAnsi="Garamond"/>
          <w:b/>
          <w:bCs/>
          <w:sz w:val="25"/>
          <w:szCs w:val="25"/>
        </w:rPr>
        <w:t>DETERMINA</w:t>
      </w:r>
    </w:p>
    <w:p w:rsidR="008E1D8B" w:rsidRDefault="008233FB" w:rsidP="008E1D8B">
      <w:pPr>
        <w:pStyle w:val="Paragrafoelenco"/>
        <w:numPr>
          <w:ilvl w:val="0"/>
          <w:numId w:val="21"/>
        </w:numPr>
        <w:ind w:right="-1"/>
        <w:jc w:val="both"/>
        <w:rPr>
          <w:rFonts w:ascii="Garamond" w:hAnsi="Garamond"/>
          <w:sz w:val="25"/>
          <w:szCs w:val="25"/>
        </w:rPr>
      </w:pPr>
      <w:r w:rsidRPr="008E1D8B">
        <w:rPr>
          <w:rFonts w:ascii="Garamond" w:hAnsi="Garamond"/>
          <w:sz w:val="25"/>
          <w:szCs w:val="25"/>
        </w:rPr>
        <w:t xml:space="preserve">Le premesse costituiscono parte integrante della presente proposta; </w:t>
      </w:r>
    </w:p>
    <w:p w:rsidR="008805F0" w:rsidRDefault="008233FB" w:rsidP="008805F0">
      <w:pPr>
        <w:pStyle w:val="Paragrafoelenco"/>
        <w:numPr>
          <w:ilvl w:val="0"/>
          <w:numId w:val="21"/>
        </w:numPr>
        <w:ind w:right="-1"/>
        <w:jc w:val="both"/>
        <w:rPr>
          <w:rFonts w:ascii="Garamond" w:hAnsi="Garamond"/>
          <w:sz w:val="25"/>
          <w:szCs w:val="25"/>
        </w:rPr>
      </w:pPr>
      <w:r w:rsidRPr="008E1D8B">
        <w:rPr>
          <w:rFonts w:ascii="Garamond" w:hAnsi="Garamond"/>
          <w:sz w:val="25"/>
          <w:szCs w:val="25"/>
        </w:rPr>
        <w:t xml:space="preserve">Di affidare le prestazioni di cui si tratta a </w:t>
      </w:r>
      <w:r w:rsidR="00F7301E" w:rsidRPr="008E1D8B">
        <w:rPr>
          <w:rFonts w:ascii="Garamond" w:hAnsi="Garamond"/>
          <w:sz w:val="25"/>
          <w:szCs w:val="25"/>
        </w:rPr>
        <w:t xml:space="preserve">BMP Universal </w:t>
      </w:r>
      <w:proofErr w:type="spellStart"/>
      <w:r w:rsidR="00F7301E" w:rsidRPr="008E1D8B">
        <w:rPr>
          <w:rFonts w:ascii="Garamond" w:hAnsi="Garamond"/>
          <w:sz w:val="25"/>
          <w:szCs w:val="25"/>
        </w:rPr>
        <w:t>srl</w:t>
      </w:r>
      <w:proofErr w:type="spellEnd"/>
      <w:r w:rsidRPr="008E1D8B">
        <w:rPr>
          <w:rFonts w:ascii="Garamond" w:hAnsi="Garamond"/>
          <w:sz w:val="25"/>
          <w:szCs w:val="25"/>
        </w:rPr>
        <w:t xml:space="preserve"> con sede in </w:t>
      </w:r>
      <w:r w:rsidR="000041C7" w:rsidRPr="008E1D8B">
        <w:rPr>
          <w:rFonts w:ascii="Garamond" w:hAnsi="Garamond"/>
          <w:sz w:val="25"/>
          <w:szCs w:val="25"/>
        </w:rPr>
        <w:t>via della stella</w:t>
      </w:r>
      <w:r w:rsidRPr="008E1D8B">
        <w:rPr>
          <w:rFonts w:ascii="Garamond" w:hAnsi="Garamond"/>
          <w:sz w:val="25"/>
          <w:szCs w:val="25"/>
        </w:rPr>
        <w:t xml:space="preserve">, </w:t>
      </w:r>
      <w:r w:rsidR="000041C7" w:rsidRPr="008E1D8B">
        <w:rPr>
          <w:rFonts w:ascii="Garamond" w:hAnsi="Garamond"/>
          <w:sz w:val="25"/>
          <w:szCs w:val="25"/>
        </w:rPr>
        <w:t>23/B - Udine</w:t>
      </w:r>
      <w:r w:rsidRPr="008E1D8B">
        <w:rPr>
          <w:rFonts w:ascii="Garamond" w:hAnsi="Garamond"/>
          <w:sz w:val="25"/>
          <w:szCs w:val="25"/>
        </w:rPr>
        <w:t xml:space="preserve">, CF </w:t>
      </w:r>
      <w:r w:rsidR="000041C7" w:rsidRPr="008E1D8B">
        <w:rPr>
          <w:rFonts w:ascii="Garamond" w:hAnsi="Garamond"/>
          <w:sz w:val="25"/>
          <w:szCs w:val="25"/>
        </w:rPr>
        <w:t>02885090304</w:t>
      </w:r>
      <w:r w:rsidRPr="008E1D8B">
        <w:rPr>
          <w:rFonts w:ascii="Garamond" w:hAnsi="Garamond"/>
          <w:sz w:val="25"/>
          <w:szCs w:val="25"/>
        </w:rPr>
        <w:t>, per un costo onnicomprensivo di € 1.</w:t>
      </w:r>
      <w:r w:rsidR="000041C7" w:rsidRPr="008E1D8B">
        <w:rPr>
          <w:rFonts w:ascii="Garamond" w:hAnsi="Garamond"/>
          <w:sz w:val="25"/>
          <w:szCs w:val="25"/>
        </w:rPr>
        <w:t>4</w:t>
      </w:r>
      <w:r w:rsidRPr="008E1D8B">
        <w:rPr>
          <w:rFonts w:ascii="Garamond" w:hAnsi="Garamond"/>
          <w:sz w:val="25"/>
          <w:szCs w:val="25"/>
        </w:rPr>
        <w:t xml:space="preserve">00,00 oltre IVA; </w:t>
      </w:r>
    </w:p>
    <w:p w:rsidR="008805F0" w:rsidRPr="008805F0" w:rsidRDefault="00B30410" w:rsidP="008805F0">
      <w:pPr>
        <w:pStyle w:val="Paragrafoelenco"/>
        <w:numPr>
          <w:ilvl w:val="0"/>
          <w:numId w:val="21"/>
        </w:numPr>
        <w:ind w:right="-1"/>
        <w:jc w:val="both"/>
        <w:rPr>
          <w:rFonts w:ascii="Garamond" w:hAnsi="Garamond"/>
          <w:sz w:val="25"/>
          <w:szCs w:val="25"/>
        </w:rPr>
      </w:pPr>
      <w:proofErr w:type="spellStart"/>
      <w:r>
        <w:rPr>
          <w:rFonts w:ascii="Garamond" w:hAnsi="Garamond"/>
          <w:sz w:val="25"/>
          <w:szCs w:val="25"/>
        </w:rPr>
        <w:t>Di</w:t>
      </w:r>
      <w:proofErr w:type="spellEnd"/>
      <w:r>
        <w:rPr>
          <w:rFonts w:ascii="Garamond" w:hAnsi="Garamond"/>
          <w:sz w:val="25"/>
          <w:szCs w:val="25"/>
        </w:rPr>
        <w:t xml:space="preserve"> dare atto che</w:t>
      </w:r>
      <w:r w:rsidR="008805F0">
        <w:rPr>
          <w:rFonts w:ascii="Garamond" w:hAnsi="Garamond"/>
          <w:sz w:val="25"/>
          <w:szCs w:val="25"/>
        </w:rPr>
        <w:t xml:space="preserve"> i</w:t>
      </w:r>
      <w:r w:rsidR="008805F0" w:rsidRPr="008805F0">
        <w:rPr>
          <w:rFonts w:ascii="Garamond" w:hAnsi="Garamond"/>
          <w:sz w:val="25"/>
          <w:szCs w:val="25"/>
        </w:rPr>
        <w:t>l CIG (codice identificativo di gara) riferito a tale contratto, che dovrà essere riportato in tutti i relativi pagamenti</w:t>
      </w:r>
      <w:r w:rsidR="008805F0">
        <w:rPr>
          <w:rFonts w:ascii="Garamond" w:hAnsi="Garamond"/>
          <w:sz w:val="25"/>
          <w:szCs w:val="25"/>
        </w:rPr>
        <w:t xml:space="preserve">, </w:t>
      </w:r>
      <w:r w:rsidR="008805F0" w:rsidRPr="008805F0">
        <w:rPr>
          <w:rFonts w:ascii="Garamond" w:hAnsi="Garamond"/>
          <w:sz w:val="25"/>
          <w:szCs w:val="25"/>
        </w:rPr>
        <w:t>è  Z5B2D73394</w:t>
      </w:r>
      <w:r>
        <w:rPr>
          <w:rFonts w:ascii="Garamond" w:hAnsi="Garamond"/>
          <w:sz w:val="25"/>
          <w:szCs w:val="25"/>
        </w:rPr>
        <w:t>;</w:t>
      </w:r>
      <w:bookmarkStart w:id="0" w:name="_GoBack"/>
      <w:bookmarkEnd w:id="0"/>
    </w:p>
    <w:p w:rsidR="008805F0" w:rsidRPr="008805F0" w:rsidRDefault="008805F0" w:rsidP="008805F0">
      <w:pPr>
        <w:pStyle w:val="Paragrafoelenco"/>
        <w:numPr>
          <w:ilvl w:val="0"/>
          <w:numId w:val="21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5"/>
          <w:szCs w:val="25"/>
        </w:rPr>
      </w:pPr>
      <w:r w:rsidRPr="008805F0">
        <w:rPr>
          <w:rFonts w:ascii="Garamond" w:hAnsi="Garamond"/>
          <w:sz w:val="25"/>
          <w:szCs w:val="25"/>
        </w:rPr>
        <w:t xml:space="preserve">Di dare atto che, ai sensi dell’art. 29 del </w:t>
      </w:r>
      <w:proofErr w:type="spellStart"/>
      <w:r w:rsidRPr="008805F0">
        <w:rPr>
          <w:rFonts w:ascii="Garamond" w:hAnsi="Garamond"/>
          <w:sz w:val="25"/>
          <w:szCs w:val="25"/>
        </w:rPr>
        <w:t>d.lgs</w:t>
      </w:r>
      <w:proofErr w:type="spellEnd"/>
      <w:r w:rsidRPr="008805F0">
        <w:rPr>
          <w:rFonts w:ascii="Garamond" w:hAnsi="Garamond"/>
          <w:sz w:val="25"/>
          <w:szCs w:val="25"/>
        </w:rPr>
        <w:t xml:space="preserve"> 50/2015, tutti gli atti relativi alla procedura in oggetto saranno pubblicati e aggiornati sul profilo del committente, nella sezione “Società trasparente”, in applicazione delle disposizioni di cui al decreto legislativo 14 marzo 2013, n. 33;</w:t>
      </w:r>
    </w:p>
    <w:p w:rsidR="00547B06" w:rsidRDefault="00547B06" w:rsidP="00165DB5">
      <w:pPr>
        <w:suppressAutoHyphens w:val="0"/>
        <w:autoSpaceDN/>
        <w:spacing w:after="0"/>
        <w:textAlignment w:val="auto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="0091355F">
        <w:rPr>
          <w:rFonts w:ascii="Garamond" w:hAnsi="Garamond"/>
          <w:sz w:val="25"/>
          <w:szCs w:val="25"/>
        </w:rPr>
        <w:t xml:space="preserve">        </w:t>
      </w:r>
      <w:r>
        <w:rPr>
          <w:rFonts w:ascii="Garamond" w:hAnsi="Garamond"/>
          <w:sz w:val="25"/>
          <w:szCs w:val="25"/>
        </w:rPr>
        <w:t>Il Direttore Generale</w:t>
      </w:r>
    </w:p>
    <w:p w:rsidR="004E7863" w:rsidRPr="004E7863" w:rsidRDefault="00547B06" w:rsidP="008805F0">
      <w:pPr>
        <w:suppressAutoHyphens w:val="0"/>
        <w:autoSpaceDN/>
        <w:spacing w:after="0"/>
        <w:textAlignment w:val="auto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     </w:t>
      </w:r>
      <w:r w:rsidR="0091355F">
        <w:rPr>
          <w:rFonts w:ascii="Garamond" w:hAnsi="Garamond"/>
          <w:sz w:val="25"/>
          <w:szCs w:val="25"/>
        </w:rPr>
        <w:t xml:space="preserve">        </w:t>
      </w:r>
      <w:r>
        <w:rPr>
          <w:rFonts w:ascii="Garamond" w:hAnsi="Garamond"/>
          <w:sz w:val="25"/>
          <w:szCs w:val="25"/>
        </w:rPr>
        <w:t>Dott. Nicola Cattozzo</w:t>
      </w:r>
    </w:p>
    <w:p w:rsidR="00547B06" w:rsidRPr="004E7863" w:rsidRDefault="00547B06" w:rsidP="00165DB5">
      <w:pPr>
        <w:rPr>
          <w:rFonts w:ascii="Garamond" w:hAnsi="Garamond"/>
          <w:sz w:val="25"/>
          <w:szCs w:val="25"/>
        </w:rPr>
      </w:pPr>
    </w:p>
    <w:sectPr w:rsidR="00547B06" w:rsidRPr="004E7863" w:rsidSect="002917F0">
      <w:headerReference w:type="default" r:id="rId8"/>
      <w:footerReference w:type="default" r:id="rId9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82" w:rsidRDefault="007C7D82">
      <w:pPr>
        <w:spacing w:after="0" w:line="240" w:lineRule="auto"/>
      </w:pPr>
      <w:r>
        <w:separator/>
      </w:r>
    </w:p>
  </w:endnote>
  <w:endnote w:type="continuationSeparator" w:id="0">
    <w:p w:rsidR="007C7D82" w:rsidRDefault="007C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C452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ames.ve@amesvenezia.it  Cod.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82" w:rsidRDefault="007C7D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7D82" w:rsidRDefault="007C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D93"/>
    <w:multiLevelType w:val="hybridMultilevel"/>
    <w:tmpl w:val="E686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1597"/>
    <w:multiLevelType w:val="hybridMultilevel"/>
    <w:tmpl w:val="CB6CAD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15ACE"/>
    <w:multiLevelType w:val="hybridMultilevel"/>
    <w:tmpl w:val="CDB643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B001F"/>
    <w:multiLevelType w:val="hybridMultilevel"/>
    <w:tmpl w:val="9E000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214BB"/>
    <w:multiLevelType w:val="hybridMultilevel"/>
    <w:tmpl w:val="D90A0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09B5"/>
    <w:multiLevelType w:val="hybridMultilevel"/>
    <w:tmpl w:val="F3EC2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56898"/>
    <w:multiLevelType w:val="hybridMultilevel"/>
    <w:tmpl w:val="D1C4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918C0"/>
    <w:multiLevelType w:val="hybridMultilevel"/>
    <w:tmpl w:val="CAB4F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03E"/>
    <w:multiLevelType w:val="hybridMultilevel"/>
    <w:tmpl w:val="662C0326"/>
    <w:lvl w:ilvl="0" w:tplc="6406BBA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12DDA"/>
    <w:multiLevelType w:val="hybridMultilevel"/>
    <w:tmpl w:val="98A22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157D0"/>
    <w:multiLevelType w:val="hybridMultilevel"/>
    <w:tmpl w:val="F998C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96675"/>
    <w:multiLevelType w:val="hybridMultilevel"/>
    <w:tmpl w:val="D062B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4"/>
  </w:num>
  <w:num w:numId="12">
    <w:abstractNumId w:val="9"/>
  </w:num>
  <w:num w:numId="13">
    <w:abstractNumId w:val="19"/>
  </w:num>
  <w:num w:numId="14">
    <w:abstractNumId w:val="6"/>
  </w:num>
  <w:num w:numId="15">
    <w:abstractNumId w:val="5"/>
  </w:num>
  <w:num w:numId="16">
    <w:abstractNumId w:val="17"/>
  </w:num>
  <w:num w:numId="17">
    <w:abstractNumId w:val="13"/>
  </w:num>
  <w:num w:numId="18">
    <w:abstractNumId w:val="15"/>
  </w:num>
  <w:num w:numId="19">
    <w:abstractNumId w:val="16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01EA3"/>
    <w:rsid w:val="000041C7"/>
    <w:rsid w:val="000B0537"/>
    <w:rsid w:val="000C7DD8"/>
    <w:rsid w:val="000D0F3B"/>
    <w:rsid w:val="000E7C73"/>
    <w:rsid w:val="00152BD4"/>
    <w:rsid w:val="00165DB5"/>
    <w:rsid w:val="00170459"/>
    <w:rsid w:val="001D0549"/>
    <w:rsid w:val="00215C85"/>
    <w:rsid w:val="0022719D"/>
    <w:rsid w:val="002503FE"/>
    <w:rsid w:val="00273513"/>
    <w:rsid w:val="0029003B"/>
    <w:rsid w:val="002917F0"/>
    <w:rsid w:val="002A3856"/>
    <w:rsid w:val="0030643A"/>
    <w:rsid w:val="00351AA8"/>
    <w:rsid w:val="00367C29"/>
    <w:rsid w:val="003A161B"/>
    <w:rsid w:val="003F15DB"/>
    <w:rsid w:val="0042516F"/>
    <w:rsid w:val="00437A46"/>
    <w:rsid w:val="004E7863"/>
    <w:rsid w:val="004F442C"/>
    <w:rsid w:val="0054301A"/>
    <w:rsid w:val="00547B06"/>
    <w:rsid w:val="00560A98"/>
    <w:rsid w:val="0056253A"/>
    <w:rsid w:val="006003BA"/>
    <w:rsid w:val="00627820"/>
    <w:rsid w:val="006E5A81"/>
    <w:rsid w:val="006F74EA"/>
    <w:rsid w:val="00700F23"/>
    <w:rsid w:val="007117AF"/>
    <w:rsid w:val="00746DB9"/>
    <w:rsid w:val="00753932"/>
    <w:rsid w:val="00782A0F"/>
    <w:rsid w:val="00786075"/>
    <w:rsid w:val="007C7D82"/>
    <w:rsid w:val="007E64B8"/>
    <w:rsid w:val="0080451A"/>
    <w:rsid w:val="0081258E"/>
    <w:rsid w:val="008233FB"/>
    <w:rsid w:val="008805F0"/>
    <w:rsid w:val="008A51F1"/>
    <w:rsid w:val="008D5DAD"/>
    <w:rsid w:val="008E1D8B"/>
    <w:rsid w:val="0091355F"/>
    <w:rsid w:val="009347D3"/>
    <w:rsid w:val="00943FAC"/>
    <w:rsid w:val="00974E4D"/>
    <w:rsid w:val="00A07ED8"/>
    <w:rsid w:val="00A2072F"/>
    <w:rsid w:val="00A54881"/>
    <w:rsid w:val="00A63C8B"/>
    <w:rsid w:val="00AD00FF"/>
    <w:rsid w:val="00AE2C20"/>
    <w:rsid w:val="00B30410"/>
    <w:rsid w:val="00B30ED3"/>
    <w:rsid w:val="00BF4ACF"/>
    <w:rsid w:val="00C47C6A"/>
    <w:rsid w:val="00C75D39"/>
    <w:rsid w:val="00D23FB5"/>
    <w:rsid w:val="00D82AA7"/>
    <w:rsid w:val="00D870F3"/>
    <w:rsid w:val="00DC7995"/>
    <w:rsid w:val="00E077F0"/>
    <w:rsid w:val="00E26264"/>
    <w:rsid w:val="00E636E4"/>
    <w:rsid w:val="00EF099C"/>
    <w:rsid w:val="00EF3E7E"/>
    <w:rsid w:val="00F161FD"/>
    <w:rsid w:val="00F7301E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4882"/>
  <w15:docId w15:val="{EFFC20AA-1759-42DE-8BB5-A53F55B0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uiPriority w:val="34"/>
    <w:qFormat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7E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7ED8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805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4FD6-2A10-4B36-AF28-AAEB2222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2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2</cp:revision>
  <cp:lastPrinted>2017-11-03T13:33:00Z</cp:lastPrinted>
  <dcterms:created xsi:type="dcterms:W3CDTF">2020-07-28T11:13:00Z</dcterms:created>
  <dcterms:modified xsi:type="dcterms:W3CDTF">2020-07-28T11:13:00Z</dcterms:modified>
</cp:coreProperties>
</file>