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33D5" w14:textId="2B5BA44D" w:rsidR="00FF2729" w:rsidRPr="00FF2729" w:rsidRDefault="00FF2729" w:rsidP="002D552A">
      <w:pPr>
        <w:spacing w:after="0"/>
      </w:pPr>
      <w:proofErr w:type="spellStart"/>
      <w:r w:rsidRPr="00FF2729">
        <w:t>Prog</w:t>
      </w:r>
      <w:proofErr w:type="spellEnd"/>
      <w:r w:rsidRPr="00FF2729">
        <w:t>. n. 0</w:t>
      </w:r>
      <w:r w:rsidR="004D7A8F">
        <w:t>2</w:t>
      </w:r>
      <w:r w:rsidR="00E14902">
        <w:t>6</w:t>
      </w:r>
      <w:r w:rsidRPr="00FF2729">
        <w:t>/</w:t>
      </w:r>
      <w:r w:rsidR="004D7A8F">
        <w:t>21</w:t>
      </w:r>
      <w:r w:rsidRPr="00FF2729">
        <w:t>/</w:t>
      </w:r>
      <w:r w:rsidR="00FA3A1D">
        <w:t>CO</w:t>
      </w:r>
      <w:r w:rsidRPr="00FF2729">
        <w:t>/FF</w:t>
      </w:r>
    </w:p>
    <w:p w14:paraId="4FB2452D" w14:textId="28987A80" w:rsidR="00FF2729" w:rsidRPr="00FF2729" w:rsidRDefault="00FF2729" w:rsidP="00FF2729">
      <w:r w:rsidRPr="00FF2729">
        <w:t xml:space="preserve">Venezia, </w:t>
      </w:r>
      <w:r w:rsidR="00D74411">
        <w:t>12</w:t>
      </w:r>
      <w:r w:rsidRPr="00FF2729">
        <w:t>/</w:t>
      </w:r>
      <w:r w:rsidR="004D7A8F">
        <w:t>04</w:t>
      </w:r>
      <w:r w:rsidRPr="00FF2729">
        <w:t>/20</w:t>
      </w:r>
      <w:r w:rsidR="004D7A8F">
        <w:t>21</w:t>
      </w:r>
    </w:p>
    <w:p w14:paraId="05149E2D" w14:textId="706B1F53" w:rsidR="00FF2729" w:rsidRPr="00FF2729" w:rsidRDefault="00FF2729" w:rsidP="00FF2729"/>
    <w:p w14:paraId="0304DB20" w14:textId="1B889171" w:rsidR="00FF2729" w:rsidRPr="00FF2729" w:rsidRDefault="00FF2729" w:rsidP="00AE1170">
      <w:pPr>
        <w:spacing w:after="0"/>
        <w:jc w:val="both"/>
        <w:rPr>
          <w:b/>
        </w:rPr>
      </w:pPr>
      <w:r w:rsidRPr="00FF2729">
        <w:rPr>
          <w:b/>
        </w:rPr>
        <w:t>Oggetto: Determina a contrarre e affidamento d</w:t>
      </w:r>
      <w:r>
        <w:rPr>
          <w:b/>
        </w:rPr>
        <w:t>i servizi</w:t>
      </w:r>
      <w:r w:rsidR="00FA3A1D">
        <w:rPr>
          <w:b/>
        </w:rPr>
        <w:t>o di certificazione</w:t>
      </w:r>
    </w:p>
    <w:p w14:paraId="6C5705A2" w14:textId="77777777" w:rsidR="00FF2729" w:rsidRDefault="00FF2729" w:rsidP="00AE1170">
      <w:pPr>
        <w:spacing w:after="0"/>
        <w:jc w:val="both"/>
        <w:rPr>
          <w:b/>
        </w:rPr>
      </w:pPr>
    </w:p>
    <w:p w14:paraId="46737F48" w14:textId="77777777" w:rsidR="00CA7D01" w:rsidRDefault="00CA7D01" w:rsidP="00AE1170">
      <w:pPr>
        <w:spacing w:after="0"/>
        <w:jc w:val="both"/>
        <w:rPr>
          <w:b/>
        </w:rPr>
      </w:pPr>
    </w:p>
    <w:p w14:paraId="617FFBBB" w14:textId="71D2FE52" w:rsidR="00FF2729" w:rsidRPr="00FF2729" w:rsidRDefault="00FF2729" w:rsidP="00AE1170">
      <w:pPr>
        <w:spacing w:after="0"/>
        <w:jc w:val="both"/>
      </w:pPr>
      <w:r w:rsidRPr="00FF2729">
        <w:rPr>
          <w:b/>
        </w:rPr>
        <w:t>Richiamat</w:t>
      </w:r>
      <w:r w:rsidR="004D7A8F">
        <w:rPr>
          <w:b/>
        </w:rPr>
        <w:t>a</w:t>
      </w:r>
      <w:r w:rsidRPr="00FF2729">
        <w:rPr>
          <w:b/>
        </w:rPr>
        <w:t xml:space="preserve"> </w:t>
      </w:r>
      <w:r w:rsidRPr="00FF2729">
        <w:t>l</w:t>
      </w:r>
      <w:r w:rsidR="004D7A8F">
        <w:t>a</w:t>
      </w:r>
      <w:r w:rsidRPr="00FF2729">
        <w:t xml:space="preserve"> deliberazion</w:t>
      </w:r>
      <w:r w:rsidR="004D7A8F">
        <w:t xml:space="preserve">e </w:t>
      </w:r>
      <w:r w:rsidRPr="00FF2729">
        <w:t>Assemblear</w:t>
      </w:r>
      <w:r w:rsidR="004D7A8F">
        <w:t>e</w:t>
      </w:r>
      <w:r w:rsidRPr="00FF2729">
        <w:t xml:space="preserve"> del 29/</w:t>
      </w:r>
      <w:r w:rsidR="004D7A8F">
        <w:t>03</w:t>
      </w:r>
      <w:r w:rsidRPr="00FF2729">
        <w:t>/20</w:t>
      </w:r>
      <w:r w:rsidR="004D7A8F">
        <w:t xml:space="preserve">21 </w:t>
      </w:r>
      <w:r w:rsidRPr="00FF2729">
        <w:t xml:space="preserve">con cui è stato conferito l’incarico di </w:t>
      </w:r>
      <w:r w:rsidR="004D7A8F">
        <w:t xml:space="preserve">Coordinatore </w:t>
      </w:r>
      <w:r w:rsidR="00823FE2">
        <w:t xml:space="preserve">Operativo dei servizi </w:t>
      </w:r>
      <w:r w:rsidR="00F3411B">
        <w:t xml:space="preserve">aziendali di </w:t>
      </w:r>
      <w:r w:rsidR="004D7A8F">
        <w:t>AMES SpA alla</w:t>
      </w:r>
      <w:r w:rsidRPr="00FF2729">
        <w:t xml:space="preserve"> Dott.</w:t>
      </w:r>
      <w:r w:rsidR="004D7A8F">
        <w:t>ssa</w:t>
      </w:r>
      <w:r w:rsidRPr="00FF2729">
        <w:t xml:space="preserve"> </w:t>
      </w:r>
      <w:r w:rsidR="004D7A8F">
        <w:t>Silvia Spignesi</w:t>
      </w:r>
      <w:r w:rsidR="00B20A02">
        <w:t xml:space="preserve"> dal 01/04/2021 per un anno, eventualmente rinnovabile;</w:t>
      </w:r>
    </w:p>
    <w:p w14:paraId="37EDFFA0" w14:textId="77777777" w:rsidR="00E14902" w:rsidRDefault="00FF2729" w:rsidP="00E14902">
      <w:pPr>
        <w:spacing w:before="240" w:after="0"/>
        <w:jc w:val="both"/>
      </w:pPr>
      <w:r w:rsidRPr="00FF2729">
        <w:rPr>
          <w:b/>
        </w:rPr>
        <w:t>Premesso che</w:t>
      </w:r>
      <w:r w:rsidRPr="00FF2729">
        <w:t>:</w:t>
      </w:r>
    </w:p>
    <w:p w14:paraId="48CBE795" w14:textId="0D23F801" w:rsidR="00E14902" w:rsidRPr="00E14902" w:rsidRDefault="00E14902" w:rsidP="00E14902">
      <w:pPr>
        <w:pStyle w:val="Paragrafoelenco"/>
        <w:numPr>
          <w:ilvl w:val="0"/>
          <w:numId w:val="12"/>
        </w:numPr>
        <w:spacing w:before="240" w:after="0"/>
        <w:jc w:val="both"/>
        <w:rPr>
          <w:bCs/>
        </w:rPr>
      </w:pPr>
      <w:r w:rsidRPr="00E14902">
        <w:rPr>
          <w:bCs/>
        </w:rPr>
        <w:t>Ai sensi del d.lgs. n. 276/2003, la certificazione dei contratti aventi ad oggetto attività di lavoro consente ai datori di lavoro e ai lavoratori di apporre ai contratti di lavoro, di appalto, ai trasferimenti d'azienda, ai contratti di somministrazione, etc., un marchio di genuinità e correttezza della qualificazione del contratto concordata dalle parti. Non solo le parti del contratto certificato ma anche gli enti preposti alle attività ispettive sono tenuti ad attenersi alle risultanze della certificazione ed i giudici possono tenerne conto in sede di qualificazione dei rapporti aventi ad oggetto attività di lavoro.</w:t>
      </w:r>
    </w:p>
    <w:p w14:paraId="51800D34" w14:textId="77777777" w:rsidR="00E14902" w:rsidRPr="002C3D28" w:rsidRDefault="00E14902" w:rsidP="00E14902">
      <w:pPr>
        <w:pStyle w:val="Paragrafoelenco"/>
        <w:numPr>
          <w:ilvl w:val="0"/>
          <w:numId w:val="11"/>
        </w:numPr>
        <w:spacing w:before="240" w:after="0"/>
        <w:jc w:val="both"/>
        <w:rPr>
          <w:b/>
        </w:rPr>
      </w:pPr>
      <w:r w:rsidRPr="002C3D28">
        <w:t>La certificazione dei contratti aventi ad oggetto attività lavorative, compresi gli appalti, è stata introdotta con l’obiettivo di dare certezza alle parti e ai terzi riguardo alla qualificazione e alla disciplina del rapporto contrattuale e di ridurre il contenzioso. La certificazione può intervenire al momento della stipulazione del contratto, ma anche durante lo svolgimento dello stesso.</w:t>
      </w:r>
    </w:p>
    <w:p w14:paraId="38876812" w14:textId="77777777" w:rsidR="00E14902" w:rsidRDefault="00E14902" w:rsidP="00E14902">
      <w:pPr>
        <w:pStyle w:val="Paragrafoelenco"/>
        <w:numPr>
          <w:ilvl w:val="0"/>
          <w:numId w:val="11"/>
        </w:numPr>
        <w:shd w:val="clear" w:color="auto" w:fill="FFFFFF"/>
        <w:spacing w:before="100" w:beforeAutospacing="1" w:after="100" w:afterAutospacing="1"/>
        <w:jc w:val="both"/>
      </w:pPr>
      <w:r w:rsidRPr="002C3D28">
        <w:t>La certificazione presenta notevoli vantaggi in quanto la Commissione</w:t>
      </w:r>
      <w:r>
        <w:t xml:space="preserve"> </w:t>
      </w:r>
      <w:r w:rsidRPr="002C3D28">
        <w:t>assiste attivamente le parti nella redazione del contratto e ne verifica e convalida la regolarità formale e sostanziale, qualunque sia il modello contrattuale prescelto dalle parti</w:t>
      </w:r>
      <w:r>
        <w:t>;</w:t>
      </w:r>
    </w:p>
    <w:p w14:paraId="3DB04EC2" w14:textId="77777777" w:rsidR="00E14902" w:rsidRDefault="00E14902" w:rsidP="00E14902">
      <w:pPr>
        <w:pStyle w:val="Paragrafoelenco"/>
        <w:numPr>
          <w:ilvl w:val="0"/>
          <w:numId w:val="11"/>
        </w:numPr>
        <w:shd w:val="clear" w:color="auto" w:fill="FFFFFF"/>
        <w:spacing w:before="100" w:beforeAutospacing="1" w:after="100" w:afterAutospacing="1"/>
        <w:jc w:val="both"/>
      </w:pPr>
      <w:r w:rsidRPr="002C3D28">
        <w:t>Gli effetti della certificazione sono importanti, oltre che sul piano della certezza del diritto, anche su quello della resistenza del contratto in caso di controversia, in quanto la certificazione dispiega i propri effetti verso i terzi</w:t>
      </w:r>
      <w:r>
        <w:t>;</w:t>
      </w:r>
    </w:p>
    <w:p w14:paraId="75303D9A" w14:textId="77777777" w:rsidR="00E14902" w:rsidRPr="00E14902" w:rsidRDefault="00E14902" w:rsidP="00E14902">
      <w:pPr>
        <w:pStyle w:val="Paragrafoelenco"/>
        <w:numPr>
          <w:ilvl w:val="0"/>
          <w:numId w:val="11"/>
        </w:numPr>
        <w:shd w:val="clear" w:color="auto" w:fill="FFFFFF"/>
        <w:spacing w:before="100" w:beforeAutospacing="1" w:after="100" w:afterAutospacing="1"/>
        <w:jc w:val="both"/>
        <w:rPr>
          <w:rFonts w:ascii="Roboto" w:eastAsia="Times New Roman" w:hAnsi="Roboto" w:cs="Times New Roman"/>
          <w:color w:val="222222"/>
          <w:szCs w:val="24"/>
          <w:lang w:eastAsia="it-IT"/>
        </w:rPr>
      </w:pPr>
      <w:r w:rsidRPr="00107A9E">
        <w:t>La legge prevede che le commissioni di certificazione possano essere costituite da Università e Fondazioni Universitarie</w:t>
      </w:r>
    </w:p>
    <w:p w14:paraId="31ACDA39" w14:textId="288E466B" w:rsidR="00111919" w:rsidRPr="00E14902" w:rsidRDefault="00FA3A1D" w:rsidP="00E14902">
      <w:pPr>
        <w:pStyle w:val="Paragrafoelenco"/>
        <w:numPr>
          <w:ilvl w:val="0"/>
          <w:numId w:val="11"/>
        </w:numPr>
        <w:shd w:val="clear" w:color="auto" w:fill="FFFFFF"/>
        <w:spacing w:before="100" w:beforeAutospacing="1" w:after="100" w:afterAutospacing="1"/>
        <w:jc w:val="both"/>
        <w:rPr>
          <w:rFonts w:ascii="Roboto" w:eastAsia="Times New Roman" w:hAnsi="Roboto" w:cs="Times New Roman"/>
          <w:color w:val="222222"/>
          <w:szCs w:val="24"/>
          <w:lang w:eastAsia="it-IT"/>
        </w:rPr>
      </w:pPr>
      <w:r>
        <w:t xml:space="preserve">AMES SpA ha sottoscritto una convenzione quadro per l’erogazione delle attività prestate dalla commissione di certificazione dell’università Ca’ Foscari di Venezia; </w:t>
      </w:r>
    </w:p>
    <w:p w14:paraId="02254382" w14:textId="77777777" w:rsidR="00FF2729" w:rsidRPr="00FF2729" w:rsidRDefault="00FF2729" w:rsidP="00AE1170">
      <w:pPr>
        <w:spacing w:before="240" w:after="0"/>
        <w:jc w:val="both"/>
        <w:rPr>
          <w:b/>
        </w:rPr>
      </w:pPr>
      <w:r w:rsidRPr="00FF2729">
        <w:rPr>
          <w:b/>
        </w:rPr>
        <w:t>Considerato che:</w:t>
      </w:r>
    </w:p>
    <w:p w14:paraId="663DA469" w14:textId="4327DB28" w:rsidR="00FA3A1D" w:rsidRDefault="00FF2729" w:rsidP="00AE1170">
      <w:pPr>
        <w:numPr>
          <w:ilvl w:val="0"/>
          <w:numId w:val="4"/>
        </w:numPr>
        <w:spacing w:after="0"/>
        <w:jc w:val="both"/>
      </w:pPr>
      <w:r w:rsidRPr="00FF2729">
        <w:t xml:space="preserve">Vi è </w:t>
      </w:r>
      <w:r>
        <w:t>la necessità di</w:t>
      </w:r>
      <w:r w:rsidR="00FA3A1D">
        <w:t xml:space="preserve"> avvalersi dei servizi della commissione di certificazione nel processo verbale di conciliazione ex art. 31, comma 13, legge 183/2010, artt. 2103 e 2113</w:t>
      </w:r>
      <w:r w:rsidR="00CA7D01">
        <w:t>, comma 4,</w:t>
      </w:r>
      <w:r w:rsidR="00FA3A1D">
        <w:t xml:space="preserve"> </w:t>
      </w:r>
      <w:r w:rsidR="00CA7D01">
        <w:t>Codice civile e art. 410 del Codice di Procedura Civile;</w:t>
      </w:r>
    </w:p>
    <w:p w14:paraId="5D89B4A7" w14:textId="77777777" w:rsidR="00FF2729" w:rsidRPr="00FF2729" w:rsidRDefault="00FF2729" w:rsidP="00AE1170">
      <w:pPr>
        <w:spacing w:before="240" w:after="0"/>
        <w:jc w:val="both"/>
        <w:rPr>
          <w:b/>
        </w:rPr>
      </w:pPr>
      <w:r w:rsidRPr="00FF2729">
        <w:rPr>
          <w:b/>
        </w:rPr>
        <w:t>Richiamate le seguenti disposizioni normative e regolamentari:</w:t>
      </w:r>
    </w:p>
    <w:p w14:paraId="06E45E83" w14:textId="77777777" w:rsidR="00FF2729" w:rsidRPr="00FF2729" w:rsidRDefault="00FF2729" w:rsidP="00AE1170">
      <w:pPr>
        <w:numPr>
          <w:ilvl w:val="0"/>
          <w:numId w:val="5"/>
        </w:numPr>
        <w:spacing w:after="0"/>
        <w:jc w:val="both"/>
      </w:pPr>
      <w:r w:rsidRPr="00FF2729">
        <w:t>L’articolo 3 della legge 136/2010 in materia di tracciabilità dei flussi finanziari;</w:t>
      </w:r>
    </w:p>
    <w:p w14:paraId="020A7407" w14:textId="77777777" w:rsidR="00FF2729" w:rsidRPr="00FF2729" w:rsidRDefault="00FF2729" w:rsidP="00AE1170">
      <w:pPr>
        <w:numPr>
          <w:ilvl w:val="0"/>
          <w:numId w:val="5"/>
        </w:numPr>
        <w:spacing w:after="0"/>
        <w:jc w:val="both"/>
      </w:pPr>
      <w:r w:rsidRPr="00FF2729">
        <w:t xml:space="preserve">Il decreto legislativo 18 aprile 2016 n. 50 “Attuazione delle direttive 2014/23/UE, 2014/24/UE, sull’aggiudicazione dei contratti di concessione, sugli appalti pubblici e sulle procedure d’appalto </w:t>
      </w:r>
      <w:r w:rsidRPr="00FF2729">
        <w:lastRenderedPageBreak/>
        <w:t xml:space="preserve">degli enti erogatori nei settori dell’acqua, dell’energia, dei trasporti e dei servizi postali, nonché per il riordino della disciplina vigente in materia di contratti pubblici relativi a lavori, servizi e forniture, di seguito denominato </w:t>
      </w:r>
      <w:proofErr w:type="spellStart"/>
      <w:r w:rsidRPr="00FF2729">
        <w:t>D.Lgs.</w:t>
      </w:r>
      <w:proofErr w:type="spellEnd"/>
      <w:r w:rsidRPr="00FF2729">
        <w:t xml:space="preserve"> 50/2016 </w:t>
      </w:r>
      <w:proofErr w:type="spellStart"/>
      <w:r w:rsidRPr="00FF2729">
        <w:t>s.m.i.</w:t>
      </w:r>
      <w:proofErr w:type="spellEnd"/>
      <w:r w:rsidRPr="00FF2729">
        <w:t xml:space="preserve"> ed in particolare:</w:t>
      </w:r>
    </w:p>
    <w:p w14:paraId="15848EE1" w14:textId="77777777" w:rsidR="00FF2729" w:rsidRPr="00FF2729" w:rsidRDefault="00FF2729" w:rsidP="00AE1170">
      <w:pPr>
        <w:numPr>
          <w:ilvl w:val="0"/>
          <w:numId w:val="6"/>
        </w:numPr>
        <w:spacing w:after="0"/>
        <w:jc w:val="both"/>
      </w:pPr>
      <w:r w:rsidRPr="00FF2729">
        <w:t>L’art. 30, comma 1, sui principi per l’aggiudicazione e l’esecuzione di appalti e concessioni;</w:t>
      </w:r>
    </w:p>
    <w:p w14:paraId="196A0231" w14:textId="77777777" w:rsidR="00FF2729" w:rsidRPr="00FF2729" w:rsidRDefault="00FF2729" w:rsidP="00AE1170">
      <w:pPr>
        <w:numPr>
          <w:ilvl w:val="0"/>
          <w:numId w:val="6"/>
        </w:numPr>
        <w:spacing w:after="0"/>
        <w:jc w:val="both"/>
      </w:pPr>
      <w:r w:rsidRPr="00FF2729">
        <w:t>L’art. 32 sulle fasi delle procedure di affidamento;</w:t>
      </w:r>
    </w:p>
    <w:p w14:paraId="12E2CAF9" w14:textId="77777777" w:rsidR="00FF2729" w:rsidRPr="00FF2729" w:rsidRDefault="00FF2729" w:rsidP="00AE1170">
      <w:pPr>
        <w:numPr>
          <w:ilvl w:val="0"/>
          <w:numId w:val="6"/>
        </w:numPr>
        <w:spacing w:after="0"/>
        <w:jc w:val="both"/>
      </w:pPr>
      <w:r w:rsidRPr="00FF2729">
        <w:t>L’art. 80 sui motivi di esclusione;</w:t>
      </w:r>
    </w:p>
    <w:p w14:paraId="21917CA3" w14:textId="77777777" w:rsidR="00FF2729" w:rsidRPr="00FF2729" w:rsidRDefault="00FF2729" w:rsidP="00AE1170">
      <w:pPr>
        <w:numPr>
          <w:ilvl w:val="0"/>
          <w:numId w:val="6"/>
        </w:numPr>
        <w:spacing w:after="0"/>
        <w:jc w:val="both"/>
      </w:pPr>
      <w:r w:rsidRPr="00FF2729">
        <w:t>L’art. 29 sui principi in materia di trasparenza;</w:t>
      </w:r>
    </w:p>
    <w:p w14:paraId="65674C4F" w14:textId="3E0C8F18" w:rsidR="00FF2729" w:rsidRPr="00FF2729" w:rsidRDefault="00FF2729" w:rsidP="00AE1170">
      <w:pPr>
        <w:numPr>
          <w:ilvl w:val="0"/>
          <w:numId w:val="6"/>
        </w:numPr>
        <w:spacing w:after="0"/>
        <w:jc w:val="both"/>
      </w:pPr>
      <w:r w:rsidRPr="00FF2729">
        <w:t>L’art. 36, comma 2, lettera a)</w:t>
      </w:r>
      <w:r w:rsidR="00AE1170">
        <w:t xml:space="preserve"> così come modifica</w:t>
      </w:r>
      <w:r w:rsidR="00CA7D01">
        <w:t>ta dall’art. 1 della legge 120/2020;</w:t>
      </w:r>
    </w:p>
    <w:p w14:paraId="46E75D66" w14:textId="07F8D782" w:rsidR="00FF2729" w:rsidRPr="00FF2729" w:rsidRDefault="00FF2729" w:rsidP="00AE1170">
      <w:pPr>
        <w:spacing w:before="240" w:after="0"/>
        <w:jc w:val="both"/>
        <w:rPr>
          <w:b/>
        </w:rPr>
      </w:pPr>
      <w:r w:rsidRPr="00FF2729">
        <w:rPr>
          <w:b/>
        </w:rPr>
        <w:t xml:space="preserve">Visti: </w:t>
      </w:r>
    </w:p>
    <w:p w14:paraId="34F6DEB5" w14:textId="77777777" w:rsidR="00FF2729" w:rsidRPr="00FF2729" w:rsidRDefault="00FF2729" w:rsidP="00AE1170">
      <w:pPr>
        <w:numPr>
          <w:ilvl w:val="0"/>
          <w:numId w:val="7"/>
        </w:numPr>
        <w:spacing w:after="0"/>
        <w:jc w:val="both"/>
        <w:rPr>
          <w:bCs/>
          <w:i/>
        </w:rPr>
      </w:pPr>
      <w:r w:rsidRPr="00FF2729">
        <w:rPr>
          <w:bCs/>
        </w:rPr>
        <w:t>l’articolo 37 del Codice Appalti a mente del quale “</w:t>
      </w:r>
      <w:r w:rsidRPr="00FF2729">
        <w:rPr>
          <w:bCs/>
          <w:i/>
        </w:rPr>
        <w:t>le stazioni appaltanti, fermi restando gli obblighi di utilizzo di strumenti di acquisto e di negoziazione, anche telematici</w:t>
      </w:r>
      <w:r w:rsidRPr="00FF2729">
        <w:rPr>
          <w:bCs/>
        </w:rPr>
        <w:t xml:space="preserve">, </w:t>
      </w:r>
      <w:r w:rsidRPr="00FF2729">
        <w:rPr>
          <w:bCs/>
          <w:i/>
        </w:rPr>
        <w:t>previsti dalle vigenti disposizioni in materia di contenimento della spesa, possono procedere direttamente e autonomamente all’acquisizione di forniture e servizi di importo inferiore a € 40.000 e di lavori di importo inferiore a 150.000 euro, nonché attraverso l’effettuazione di ordini a valere su strumenti di acquisto messi a disposizione dalle centrali di committenza”;</w:t>
      </w:r>
    </w:p>
    <w:p w14:paraId="7DCA989F" w14:textId="77777777" w:rsidR="00FF2729" w:rsidRPr="00FF2729" w:rsidRDefault="00FF2729" w:rsidP="00AE1170">
      <w:pPr>
        <w:numPr>
          <w:ilvl w:val="0"/>
          <w:numId w:val="7"/>
        </w:numPr>
        <w:spacing w:after="0"/>
        <w:jc w:val="both"/>
        <w:rPr>
          <w:bCs/>
          <w:i/>
        </w:rPr>
      </w:pPr>
      <w:r w:rsidRPr="00FF2729">
        <w:rPr>
          <w:bCs/>
        </w:rPr>
        <w:t>L’art. 1, comma 498, L. 208/2015 cd. legge di stabilità 2016 che estende l’obbligo di utilizzo dei parametri prezzo-qualità delle Convenzioni Consip alle società controllate dallo Stato e dagli enti locali;</w:t>
      </w:r>
    </w:p>
    <w:p w14:paraId="604E07EB" w14:textId="57E6D1C9" w:rsidR="00FF2729" w:rsidRPr="00FF2729" w:rsidRDefault="00FF2729" w:rsidP="00AE1170">
      <w:pPr>
        <w:spacing w:before="240" w:after="0"/>
        <w:jc w:val="both"/>
        <w:rPr>
          <w:b/>
          <w:bCs/>
        </w:rPr>
      </w:pPr>
      <w:r w:rsidRPr="00FF2729">
        <w:rPr>
          <w:b/>
          <w:bCs/>
        </w:rPr>
        <w:t>Atteso che:</w:t>
      </w:r>
    </w:p>
    <w:p w14:paraId="0F62D696" w14:textId="5FC9AD7F" w:rsidR="00FF2729" w:rsidRPr="00FF2729" w:rsidRDefault="00AE1170" w:rsidP="00AE1170">
      <w:pPr>
        <w:numPr>
          <w:ilvl w:val="0"/>
          <w:numId w:val="8"/>
        </w:numPr>
        <w:spacing w:after="0"/>
        <w:jc w:val="both"/>
        <w:rPr>
          <w:bCs/>
        </w:rPr>
      </w:pPr>
      <w:r w:rsidRPr="00AE1170">
        <w:rPr>
          <w:bCs/>
        </w:rPr>
        <w:t>al momento non risultano attive Convenzioni Consip per il servizio richiesto in oggetto alle quali eventualmente</w:t>
      </w:r>
      <w:r w:rsidR="00CA7D01">
        <w:rPr>
          <w:bCs/>
        </w:rPr>
        <w:t xml:space="preserve"> aderire</w:t>
      </w:r>
      <w:r w:rsidRPr="00AE1170">
        <w:rPr>
          <w:bCs/>
        </w:rPr>
        <w:t>;</w:t>
      </w:r>
    </w:p>
    <w:p w14:paraId="5A37599C" w14:textId="77777777" w:rsidR="00E45ABE" w:rsidRDefault="00E45ABE" w:rsidP="00E45ABE">
      <w:pPr>
        <w:spacing w:before="240" w:after="0"/>
        <w:jc w:val="both"/>
      </w:pPr>
      <w:r w:rsidRPr="00E45ABE">
        <w:rPr>
          <w:b/>
          <w:bCs/>
        </w:rPr>
        <w:t>Considerato</w:t>
      </w:r>
      <w:r w:rsidRPr="00E45ABE">
        <w:t xml:space="preserve"> che l’art.36, comma 2, lettera a), del Codice prevede che l’affidamento e l’esecuzione di lavori, servizi e forniture di importo inferiore a 40,000.00 euro possa avvenire tramite affidamento diretto, adeguatamente motivato, o, per lavori, tramite amministrazione diretta; </w:t>
      </w:r>
    </w:p>
    <w:p w14:paraId="70572717" w14:textId="5BEDF486" w:rsidR="00FF2729" w:rsidRDefault="00FF2729" w:rsidP="00E45ABE">
      <w:pPr>
        <w:spacing w:before="240" w:after="0"/>
        <w:jc w:val="both"/>
      </w:pPr>
      <w:r w:rsidRPr="00FF2729">
        <w:t>tutto ciò premesso e considerato,</w:t>
      </w:r>
    </w:p>
    <w:p w14:paraId="5A839DEE" w14:textId="77777777" w:rsidR="00FF2729" w:rsidRPr="00FF2729" w:rsidRDefault="00FF2729" w:rsidP="00D74411">
      <w:pPr>
        <w:jc w:val="center"/>
        <w:rPr>
          <w:b/>
        </w:rPr>
      </w:pPr>
      <w:r w:rsidRPr="00FF2729">
        <w:rPr>
          <w:b/>
        </w:rPr>
        <w:t>DETERMINA</w:t>
      </w:r>
    </w:p>
    <w:p w14:paraId="064EA7FA" w14:textId="77777777" w:rsidR="00FF2729" w:rsidRPr="00FF2729" w:rsidRDefault="00FF2729" w:rsidP="00AE1170">
      <w:pPr>
        <w:numPr>
          <w:ilvl w:val="0"/>
          <w:numId w:val="2"/>
        </w:numPr>
        <w:spacing w:after="0"/>
        <w:jc w:val="both"/>
      </w:pPr>
      <w:r w:rsidRPr="00FF2729">
        <w:t xml:space="preserve">di rendere la narrativa che precede parte integrante del presente dispositivo; </w:t>
      </w:r>
    </w:p>
    <w:p w14:paraId="128EE69C" w14:textId="312D6361" w:rsidR="00111874" w:rsidRDefault="00FF2729" w:rsidP="00AE1170">
      <w:pPr>
        <w:numPr>
          <w:ilvl w:val="0"/>
          <w:numId w:val="2"/>
        </w:numPr>
        <w:spacing w:after="0"/>
        <w:jc w:val="both"/>
      </w:pPr>
      <w:r w:rsidRPr="00FF2729">
        <w:t>di affidare,</w:t>
      </w:r>
      <w:r w:rsidR="00CA7D01">
        <w:t xml:space="preserve"> in forza della Convenzione in essere tra AMES SpA e Fondazione Ca’ Foscari di Venezia</w:t>
      </w:r>
      <w:r w:rsidRPr="00FF2729">
        <w:t xml:space="preserve"> con sede in </w:t>
      </w:r>
      <w:r w:rsidR="00F21B98">
        <w:t>Venezia</w:t>
      </w:r>
      <w:r w:rsidRPr="00FF2729">
        <w:t xml:space="preserve">, </w:t>
      </w:r>
      <w:proofErr w:type="spellStart"/>
      <w:r w:rsidR="00CA7D01">
        <w:t>Dorsoduro</w:t>
      </w:r>
      <w:proofErr w:type="spellEnd"/>
      <w:r w:rsidR="00CA7D01">
        <w:t xml:space="preserve"> 3859/A</w:t>
      </w:r>
      <w:r w:rsidRPr="00FF2729">
        <w:t xml:space="preserve"> </w:t>
      </w:r>
      <w:r w:rsidR="00E45ABE">
        <w:t xml:space="preserve">l’incarico </w:t>
      </w:r>
      <w:r w:rsidR="00CA7D01">
        <w:t>nel processo verbale di</w:t>
      </w:r>
      <w:r w:rsidR="00E45ABE">
        <w:t xml:space="preserve"> </w:t>
      </w:r>
      <w:r w:rsidR="00CA7D01">
        <w:t xml:space="preserve">conciliazione </w:t>
      </w:r>
      <w:r w:rsidR="00CA7D01" w:rsidRPr="00CA7D01">
        <w:t>ex art. 31, comma 13, legge 183/2010, artt. 2103 e 2113, comma 4, Codice civile e art. 410 del Codice di Procedura Civile</w:t>
      </w:r>
      <w:r w:rsidR="00111874">
        <w:t xml:space="preserve">; </w:t>
      </w:r>
    </w:p>
    <w:p w14:paraId="0F319869" w14:textId="77777777" w:rsidR="00FF2729" w:rsidRPr="00FF2729" w:rsidRDefault="00FF2729" w:rsidP="00AE1170">
      <w:pPr>
        <w:numPr>
          <w:ilvl w:val="0"/>
          <w:numId w:val="2"/>
        </w:numPr>
        <w:spacing w:after="0"/>
        <w:jc w:val="both"/>
      </w:pPr>
      <w:r w:rsidRPr="00FF2729">
        <w:t xml:space="preserve">di dare atto che, ai sensi dell’articolo 32, comma 2, del </w:t>
      </w:r>
      <w:proofErr w:type="spellStart"/>
      <w:r w:rsidRPr="00FF2729">
        <w:t>D.Lgs.</w:t>
      </w:r>
      <w:proofErr w:type="spellEnd"/>
      <w:r w:rsidRPr="00FF2729">
        <w:t xml:space="preserve"> 50/2016:</w:t>
      </w:r>
    </w:p>
    <w:p w14:paraId="0FC914F7" w14:textId="4841ADC5" w:rsidR="00E14902" w:rsidRDefault="00FF2729" w:rsidP="00AE1170">
      <w:pPr>
        <w:numPr>
          <w:ilvl w:val="0"/>
          <w:numId w:val="10"/>
        </w:numPr>
        <w:spacing w:after="0"/>
        <w:jc w:val="both"/>
      </w:pPr>
      <w:r w:rsidRPr="00FF2729">
        <w:t xml:space="preserve">il fine del contratto </w:t>
      </w:r>
      <w:r w:rsidR="00E14902">
        <w:t xml:space="preserve">è </w:t>
      </w:r>
      <w:r w:rsidR="00E14902" w:rsidRPr="00E14902">
        <w:t xml:space="preserve">dare certezza alle parti e ai terzi riguardo alla qualificazione e alla disciplina del </w:t>
      </w:r>
      <w:r w:rsidR="00E14902">
        <w:t>contratto oggetto di conciliazione;</w:t>
      </w:r>
    </w:p>
    <w:p w14:paraId="7CB0AE49" w14:textId="5B1EBB57" w:rsidR="00FF2729" w:rsidRPr="00FF2729" w:rsidRDefault="00E14902" w:rsidP="00AE1170">
      <w:pPr>
        <w:numPr>
          <w:ilvl w:val="0"/>
          <w:numId w:val="10"/>
        </w:numPr>
        <w:spacing w:after="0"/>
        <w:jc w:val="both"/>
      </w:pPr>
      <w:r>
        <w:t>L’oggetto del contratto è il servizio di</w:t>
      </w:r>
      <w:r w:rsidRPr="00E14902">
        <w:t xml:space="preserve"> certificazione nel processo verbale di conciliazione ex art. 31, comma 13, legge 183/2010, artt. 2103 e 2113, comma 4, Codice civile e art. 410 del Codice di Procedura Civile;</w:t>
      </w:r>
    </w:p>
    <w:p w14:paraId="53B6CF61" w14:textId="692705D4" w:rsidR="00D74411" w:rsidRDefault="00D74411" w:rsidP="00AE1170">
      <w:pPr>
        <w:numPr>
          <w:ilvl w:val="0"/>
          <w:numId w:val="2"/>
        </w:numPr>
        <w:spacing w:after="0"/>
        <w:jc w:val="both"/>
      </w:pPr>
      <w:r>
        <w:t>Di dare atto che il CIG relativo alla presente procedura è</w:t>
      </w:r>
      <w:r w:rsidR="00E14902">
        <w:t xml:space="preserve"> </w:t>
      </w:r>
      <w:r w:rsidR="00E14902" w:rsidRPr="00E14902">
        <w:t>Z54314BECE</w:t>
      </w:r>
      <w:r>
        <w:t>;</w:t>
      </w:r>
    </w:p>
    <w:p w14:paraId="0A2C7BA0" w14:textId="10FD7135" w:rsidR="00FF2729" w:rsidRPr="00FF2729" w:rsidRDefault="00FF2729" w:rsidP="00AE1170">
      <w:pPr>
        <w:numPr>
          <w:ilvl w:val="0"/>
          <w:numId w:val="2"/>
        </w:numPr>
        <w:spacing w:after="0"/>
        <w:jc w:val="both"/>
      </w:pPr>
      <w:r w:rsidRPr="00FF2729">
        <w:t xml:space="preserve">L’importo dell’affidamento, IVA esclusa, ammonta ad € </w:t>
      </w:r>
      <w:r w:rsidR="00E14902">
        <w:t>400,</w:t>
      </w:r>
      <w:r w:rsidR="00D74411">
        <w:t>00</w:t>
      </w:r>
      <w:r w:rsidRPr="00FF2729">
        <w:t xml:space="preserve">= al netto di IVA e/o di altre </w:t>
      </w:r>
      <w:r w:rsidR="00111874">
        <w:t xml:space="preserve">tasse, </w:t>
      </w:r>
      <w:r w:rsidRPr="00FF2729">
        <w:t xml:space="preserve">imposte e contributi di legge; </w:t>
      </w:r>
    </w:p>
    <w:p w14:paraId="678F6A3C" w14:textId="77777777" w:rsidR="00FF2729" w:rsidRPr="00FF2729" w:rsidRDefault="00FF2729" w:rsidP="00AE1170">
      <w:pPr>
        <w:numPr>
          <w:ilvl w:val="0"/>
          <w:numId w:val="2"/>
        </w:numPr>
        <w:spacing w:after="0"/>
        <w:jc w:val="both"/>
      </w:pPr>
      <w:r w:rsidRPr="00FF2729">
        <w:lastRenderedPageBreak/>
        <w:t xml:space="preserve">Il contraente viene scelto mediante affidamento diretto ai sensi dell’art. 36, comma 2, lettera a) del </w:t>
      </w:r>
      <w:proofErr w:type="spellStart"/>
      <w:r w:rsidRPr="00FF2729">
        <w:t>D.Lgs.</w:t>
      </w:r>
      <w:proofErr w:type="spellEnd"/>
      <w:r w:rsidRPr="00FF2729">
        <w:t xml:space="preserve"> 50/2016;</w:t>
      </w:r>
    </w:p>
    <w:p w14:paraId="03EB7A15" w14:textId="6145C4DE" w:rsidR="00FF2729" w:rsidRDefault="00FF2729" w:rsidP="00AE1170">
      <w:pPr>
        <w:numPr>
          <w:ilvl w:val="0"/>
          <w:numId w:val="2"/>
        </w:numPr>
        <w:spacing w:after="0"/>
        <w:jc w:val="both"/>
      </w:pPr>
      <w:r w:rsidRPr="00FF2729">
        <w:t xml:space="preserve">Di dare atto che, ai sensi dell’art. 29 del </w:t>
      </w:r>
      <w:proofErr w:type="spellStart"/>
      <w:r w:rsidRPr="00FF2729">
        <w:t>d.lgs</w:t>
      </w:r>
      <w:proofErr w:type="spellEnd"/>
      <w:r w:rsidRPr="00FF2729">
        <w:t xml:space="preserve"> 50/2015, tutti gli atti relativi alla procedura in oggetto saranno pubblicati e aggiornati sul profilo del committente, nella sezione “Società trasparente”, in applicazione delle disposizioni di cui al decreto legislativo 14 marzo 2013, n. 33</w:t>
      </w:r>
      <w:r w:rsidR="00D74411">
        <w:t>.</w:t>
      </w:r>
    </w:p>
    <w:p w14:paraId="4C9E7015" w14:textId="77777777" w:rsidR="00D74411" w:rsidRPr="00FF2729" w:rsidRDefault="00D74411" w:rsidP="00D74411">
      <w:pPr>
        <w:spacing w:after="0"/>
        <w:jc w:val="both"/>
      </w:pPr>
    </w:p>
    <w:p w14:paraId="7BB73BE3" w14:textId="77777777" w:rsidR="00FF2729" w:rsidRPr="00FF2729" w:rsidRDefault="00FF2729" w:rsidP="00AE1170">
      <w:pPr>
        <w:spacing w:after="0"/>
        <w:jc w:val="both"/>
      </w:pPr>
    </w:p>
    <w:p w14:paraId="3F815F83" w14:textId="0C44AC4E" w:rsidR="00FF2729" w:rsidRPr="00FF2729" w:rsidRDefault="00FF2729" w:rsidP="00AE1170">
      <w:pPr>
        <w:spacing w:after="0"/>
        <w:jc w:val="both"/>
      </w:pPr>
      <w:r w:rsidRPr="00FF2729">
        <w:tab/>
      </w:r>
      <w:r w:rsidRPr="00FF2729">
        <w:tab/>
      </w:r>
      <w:r w:rsidRPr="00FF2729">
        <w:tab/>
      </w:r>
      <w:r w:rsidRPr="00FF2729">
        <w:tab/>
      </w:r>
      <w:r w:rsidRPr="00FF2729">
        <w:tab/>
      </w:r>
      <w:r w:rsidRPr="00FF2729">
        <w:tab/>
      </w:r>
      <w:r w:rsidRPr="00FF2729">
        <w:tab/>
      </w:r>
      <w:r w:rsidRPr="00FF2729">
        <w:tab/>
      </w:r>
      <w:r w:rsidR="00D74411">
        <w:t xml:space="preserve">       </w:t>
      </w:r>
      <w:r w:rsidR="00E14902">
        <w:t xml:space="preserve">Il </w:t>
      </w:r>
      <w:r w:rsidR="00D74411">
        <w:t>Coordinatore A.M.E.S. S.p.A.</w:t>
      </w:r>
    </w:p>
    <w:p w14:paraId="6139FBBB" w14:textId="3F4EDF0B" w:rsidR="00FF2729" w:rsidRPr="00FF2729" w:rsidRDefault="00FF2729" w:rsidP="00AE1170">
      <w:pPr>
        <w:spacing w:after="0"/>
        <w:jc w:val="both"/>
        <w:rPr>
          <w:b/>
        </w:rPr>
      </w:pPr>
      <w:r w:rsidRPr="00FF2729">
        <w:tab/>
      </w:r>
      <w:r w:rsidRPr="00FF2729">
        <w:tab/>
      </w:r>
      <w:r w:rsidRPr="00FF2729">
        <w:tab/>
      </w:r>
      <w:r w:rsidRPr="00FF2729">
        <w:tab/>
      </w:r>
      <w:r w:rsidRPr="00FF2729">
        <w:tab/>
      </w:r>
      <w:r w:rsidRPr="00FF2729">
        <w:tab/>
      </w:r>
      <w:r w:rsidRPr="00FF2729">
        <w:tab/>
      </w:r>
      <w:r w:rsidRPr="00FF2729">
        <w:tab/>
        <w:t xml:space="preserve">         </w:t>
      </w:r>
      <w:r w:rsidR="00D74411">
        <w:t xml:space="preserve">   </w:t>
      </w:r>
      <w:r w:rsidRPr="00FF2729">
        <w:t xml:space="preserve"> dott.</w:t>
      </w:r>
      <w:r w:rsidR="00D74411">
        <w:t>ssa Silvia Spignesi</w:t>
      </w:r>
    </w:p>
    <w:p w14:paraId="087B184B" w14:textId="77777777" w:rsidR="00FF2729" w:rsidRPr="00FF2729" w:rsidRDefault="00FF2729" w:rsidP="00AE1170">
      <w:pPr>
        <w:spacing w:after="0"/>
        <w:jc w:val="both"/>
      </w:pPr>
    </w:p>
    <w:p w14:paraId="755FA32D" w14:textId="77777777" w:rsidR="00FF2729" w:rsidRPr="00FF2729" w:rsidRDefault="00FF2729" w:rsidP="00AE1170">
      <w:pPr>
        <w:spacing w:after="0"/>
        <w:jc w:val="both"/>
      </w:pPr>
    </w:p>
    <w:p w14:paraId="7103DC72" w14:textId="77777777" w:rsidR="00EE4602" w:rsidRDefault="00EE4602" w:rsidP="00AE1170">
      <w:pPr>
        <w:spacing w:after="0"/>
        <w:jc w:val="both"/>
      </w:pPr>
    </w:p>
    <w:sectPr w:rsidR="00EE4602" w:rsidSect="00614A07">
      <w:headerReference w:type="default" r:id="rId7"/>
      <w:footerReference w:type="default" r:id="rId8"/>
      <w:pgSz w:w="11906" w:h="16838" w:code="9"/>
      <w:pgMar w:top="198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386B" w14:textId="77777777" w:rsidR="007D6A30" w:rsidRDefault="007D6A30">
      <w:pPr>
        <w:spacing w:after="0" w:line="240" w:lineRule="auto"/>
      </w:pPr>
      <w:r>
        <w:separator/>
      </w:r>
    </w:p>
  </w:endnote>
  <w:endnote w:type="continuationSeparator" w:id="0">
    <w:p w14:paraId="7DDCB7C1" w14:textId="77777777" w:rsidR="007D6A30" w:rsidRDefault="007D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EDE0" w14:textId="1183D74D" w:rsidR="001601EF" w:rsidRDefault="003810EB" w:rsidP="000A385F">
    <w:pPr>
      <w:pStyle w:val="Pidipagina"/>
      <w:jc w:val="center"/>
    </w:pPr>
    <w:r>
      <w:rPr>
        <w:noProof/>
        <w:lang w:eastAsia="it-IT"/>
      </w:rPr>
      <w:drawing>
        <wp:anchor distT="0" distB="0" distL="114300" distR="114300" simplePos="0" relativeHeight="251656192" behindDoc="1" locked="0" layoutInCell="1" allowOverlap="1" wp14:anchorId="7087E52E" wp14:editId="28700235">
          <wp:simplePos x="0" y="0"/>
          <wp:positionH relativeFrom="column">
            <wp:posOffset>5918835</wp:posOffset>
          </wp:positionH>
          <wp:positionV relativeFrom="paragraph">
            <wp:posOffset>47213</wp:posOffset>
          </wp:positionV>
          <wp:extent cx="467995" cy="467995"/>
          <wp:effectExtent l="0" t="0" r="825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 9001_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anchor>
      </w:drawing>
    </w:r>
    <w:r>
      <w:rPr>
        <w:noProof/>
        <w:lang w:eastAsia="it-IT"/>
      </w:rPr>
      <w:drawing>
        <wp:anchor distT="0" distB="0" distL="114300" distR="114300" simplePos="0" relativeHeight="251657216" behindDoc="1" locked="0" layoutInCell="1" allowOverlap="1" wp14:anchorId="6C1185B1" wp14:editId="7742BA5A">
          <wp:simplePos x="0" y="0"/>
          <wp:positionH relativeFrom="column">
            <wp:posOffset>5539740</wp:posOffset>
          </wp:positionH>
          <wp:positionV relativeFrom="paragraph">
            <wp:posOffset>93757</wp:posOffset>
          </wp:positionV>
          <wp:extent cx="287655" cy="35941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ACCREDIA Organizzazioni certificate_150.jpeg"/>
                  <pic:cNvPicPr/>
                </pic:nvPicPr>
                <pic:blipFill>
                  <a:blip r:embed="rId2">
                    <a:extLst>
                      <a:ext uri="{28A0092B-C50C-407E-A947-70E740481C1C}">
                        <a14:useLocalDpi xmlns:a14="http://schemas.microsoft.com/office/drawing/2010/main" val="0"/>
                      </a:ext>
                    </a:extLst>
                  </a:blip>
                  <a:stretch>
                    <a:fillRect/>
                  </a:stretch>
                </pic:blipFill>
                <pic:spPr>
                  <a:xfrm>
                    <a:off x="0" y="0"/>
                    <a:ext cx="287655" cy="359410"/>
                  </a:xfrm>
                  <a:prstGeom prst="rect">
                    <a:avLst/>
                  </a:prstGeom>
                </pic:spPr>
              </pic:pic>
            </a:graphicData>
          </a:graphic>
        </wp:anchor>
      </w:drawing>
    </w:r>
    <w:r w:rsidR="00B20A02">
      <w:rPr>
        <w:noProof/>
        <w:lang w:eastAsia="it-IT"/>
      </w:rPr>
      <mc:AlternateContent>
        <mc:Choice Requires="wps">
          <w:drawing>
            <wp:anchor distT="4294967294" distB="4294967294" distL="114300" distR="114300" simplePos="0" relativeHeight="251658240" behindDoc="0" locked="0" layoutInCell="1" allowOverlap="1" wp14:anchorId="55F413FE" wp14:editId="18FBDE17">
              <wp:simplePos x="0" y="0"/>
              <wp:positionH relativeFrom="column">
                <wp:posOffset>-739140</wp:posOffset>
              </wp:positionH>
              <wp:positionV relativeFrom="paragraph">
                <wp:posOffset>62864</wp:posOffset>
              </wp:positionV>
              <wp:extent cx="754380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straightConnector1">
                        <a:avLst/>
                      </a:prstGeom>
                      <a:noFill/>
                      <a:ln w="12700" cmpd="sng">
                        <a:solidFill>
                          <a:schemeClr val="accent2">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CCD051F" id="_x0000_t32" coordsize="21600,21600" o:spt="32" o:oned="t" path="m,l21600,21600e" filled="f">
              <v:path arrowok="t" fillok="f" o:connecttype="none"/>
              <o:lock v:ext="edit" shapetype="t"/>
            </v:shapetype>
            <v:shape id="AutoShape 2" o:spid="_x0000_s1026" type="#_x0000_t32" style="position:absolute;margin-left:-58.2pt;margin-top:4.95pt;width:59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" strokecolor="#c0504d [3205]" strokeweight="1pt">
              <v:shadow color="#622423 [1605]" offset="1pt"/>
            </v:shape>
          </w:pict>
        </mc:Fallback>
      </mc:AlternateContent>
    </w:r>
    <w:r w:rsidR="00B20A02">
      <w:rPr>
        <w:noProof/>
        <w:lang w:eastAsia="it-IT"/>
      </w:rPr>
      <mc:AlternateContent>
        <mc:Choice Requires="wps">
          <w:drawing>
            <wp:anchor distT="0" distB="0" distL="114300" distR="114300" simplePos="0" relativeHeight="251659264" behindDoc="0" locked="0" layoutInCell="1" allowOverlap="1" wp14:anchorId="0FAFD683" wp14:editId="05DC4B64">
              <wp:simplePos x="0" y="0"/>
              <wp:positionH relativeFrom="column">
                <wp:posOffset>794385</wp:posOffset>
              </wp:positionH>
              <wp:positionV relativeFrom="paragraph">
                <wp:posOffset>138430</wp:posOffset>
              </wp:positionV>
              <wp:extent cx="4562475" cy="5524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552450"/>
                      </a:xfrm>
                      <a:prstGeom prst="rect">
                        <a:avLst/>
                      </a:prstGeom>
                      <a:noFill/>
                      <a:ln w="9525">
                        <a:noFill/>
                        <a:miter lim="800000"/>
                        <a:headEnd/>
                        <a:tailEnd/>
                      </a:ln>
                    </wps:spPr>
                    <wps:txbx>
                      <w:txbxContent>
                        <w:p w14:paraId="0DB2EDC6" w14:textId="77777777" w:rsidR="000A385F" w:rsidRPr="000A385F" w:rsidRDefault="003810EB"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A.M.E.S. SpA – Società controllata dal Comune di Venezia – Capitale Sociale € 1.029.600 </w:t>
                          </w:r>
                          <w:proofErr w:type="spellStart"/>
                          <w:r w:rsidRPr="000A385F">
                            <w:rPr>
                              <w:color w:val="808080" w:themeColor="background1" w:themeShade="80"/>
                              <w:sz w:val="18"/>
                              <w:szCs w:val="18"/>
                            </w:rPr>
                            <w:t>i.v</w:t>
                          </w:r>
                          <w:proofErr w:type="spellEnd"/>
                          <w:r w:rsidRPr="000A385F">
                            <w:rPr>
                              <w:color w:val="808080" w:themeColor="background1" w:themeShade="80"/>
                              <w:sz w:val="18"/>
                              <w:szCs w:val="18"/>
                            </w:rPr>
                            <w:t>.</w:t>
                          </w:r>
                        </w:p>
                        <w:p w14:paraId="245887C5" w14:textId="77777777" w:rsidR="001601EF" w:rsidRDefault="003810EB"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Pr>
                              <w:color w:val="808080" w:themeColor="background1" w:themeShade="80"/>
                              <w:sz w:val="18"/>
                              <w:szCs w:val="18"/>
                            </w:rPr>
                            <w:t xml:space="preserve">1 2967200 </w:t>
                          </w:r>
                          <w:proofErr w:type="gramStart"/>
                          <w:r>
                            <w:rPr>
                              <w:color w:val="808080" w:themeColor="background1" w:themeShade="80"/>
                              <w:sz w:val="18"/>
                              <w:szCs w:val="18"/>
                            </w:rPr>
                            <w:t>-  Fax</w:t>
                          </w:r>
                          <w:proofErr w:type="gramEnd"/>
                          <w:r>
                            <w:rPr>
                              <w:color w:val="808080" w:themeColor="background1" w:themeShade="80"/>
                              <w:sz w:val="18"/>
                              <w:szCs w:val="18"/>
                            </w:rPr>
                            <w:t xml:space="preserve">  041 2967290 </w:t>
                          </w:r>
                        </w:p>
                        <w:p w14:paraId="735D44F0" w14:textId="77777777" w:rsidR="000A385F" w:rsidRPr="000A385F" w:rsidRDefault="003810EB"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e-mail: </w:t>
                          </w:r>
                          <w:proofErr w:type="spellStart"/>
                          <w:r w:rsidRPr="000A385F">
                            <w:rPr>
                              <w:color w:val="808080" w:themeColor="background1" w:themeShade="80"/>
                              <w:sz w:val="18"/>
                              <w:szCs w:val="18"/>
                            </w:rPr>
                            <w:t>ames.ve@amesvenezia.itCod</w:t>
                          </w:r>
                          <w:proofErr w:type="spellEnd"/>
                          <w:r w:rsidRPr="000A385F">
                            <w:rPr>
                              <w:color w:val="808080" w:themeColor="background1" w:themeShade="80"/>
                              <w:sz w:val="18"/>
                              <w:szCs w:val="18"/>
                            </w:rPr>
                            <w:t>. Fisc., PIVA e Reg. Imprese Venezia 02979860273</w:t>
                          </w:r>
                        </w:p>
                        <w:p w14:paraId="5C2AAA1D" w14:textId="77777777" w:rsidR="000A385F" w:rsidRDefault="00E149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FD683" id="_x0000_t202" coordsize="21600,21600" o:spt="202" path="m,l,21600r21600,l21600,xe">
              <v:stroke joinstyle="miter"/>
              <v:path gradientshapeok="t" o:connecttype="rect"/>
            </v:shapetype>
            <v:shape id="Text Box 3" o:spid="_x0000_s1026" type="#_x0000_t202" style="position:absolute;left:0;text-align:left;margin-left:62.55pt;margin-top:10.9pt;width:35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" filled="f" stroked="f">
              <v:textbox>
                <w:txbxContent>
                  <w:p w14:paraId="0DB2EDC6" w14:textId="77777777" w:rsidR="000A385F" w:rsidRPr="000A385F" w:rsidRDefault="003810EB"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A.M.E.S. SpA – Società controllata dal Comune di Venezia – Capitale Sociale € 1.029.600 </w:t>
                    </w:r>
                    <w:proofErr w:type="spellStart"/>
                    <w:r w:rsidRPr="000A385F">
                      <w:rPr>
                        <w:color w:val="808080" w:themeColor="background1" w:themeShade="80"/>
                        <w:sz w:val="18"/>
                        <w:szCs w:val="18"/>
                      </w:rPr>
                      <w:t>i.v</w:t>
                    </w:r>
                    <w:proofErr w:type="spellEnd"/>
                    <w:r w:rsidRPr="000A385F">
                      <w:rPr>
                        <w:color w:val="808080" w:themeColor="background1" w:themeShade="80"/>
                        <w:sz w:val="18"/>
                        <w:szCs w:val="18"/>
                      </w:rPr>
                      <w:t>.</w:t>
                    </w:r>
                  </w:p>
                  <w:p w14:paraId="245887C5" w14:textId="77777777" w:rsidR="001601EF" w:rsidRDefault="003810EB"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Pr>
                        <w:color w:val="808080" w:themeColor="background1" w:themeShade="80"/>
                        <w:sz w:val="18"/>
                        <w:szCs w:val="18"/>
                      </w:rPr>
                      <w:t xml:space="preserve">1 2967200 </w:t>
                    </w:r>
                    <w:proofErr w:type="gramStart"/>
                    <w:r>
                      <w:rPr>
                        <w:color w:val="808080" w:themeColor="background1" w:themeShade="80"/>
                        <w:sz w:val="18"/>
                        <w:szCs w:val="18"/>
                      </w:rPr>
                      <w:t>-  Fax</w:t>
                    </w:r>
                    <w:proofErr w:type="gramEnd"/>
                    <w:r>
                      <w:rPr>
                        <w:color w:val="808080" w:themeColor="background1" w:themeShade="80"/>
                        <w:sz w:val="18"/>
                        <w:szCs w:val="18"/>
                      </w:rPr>
                      <w:t xml:space="preserve">  041 2967290 </w:t>
                    </w:r>
                  </w:p>
                  <w:p w14:paraId="735D44F0" w14:textId="77777777" w:rsidR="000A385F" w:rsidRPr="000A385F" w:rsidRDefault="003810EB"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e-mail: </w:t>
                    </w:r>
                    <w:proofErr w:type="spellStart"/>
                    <w:r w:rsidRPr="000A385F">
                      <w:rPr>
                        <w:color w:val="808080" w:themeColor="background1" w:themeShade="80"/>
                        <w:sz w:val="18"/>
                        <w:szCs w:val="18"/>
                      </w:rPr>
                      <w:t>ames.ve@amesvenezia.itCod</w:t>
                    </w:r>
                    <w:proofErr w:type="spellEnd"/>
                    <w:r w:rsidRPr="000A385F">
                      <w:rPr>
                        <w:color w:val="808080" w:themeColor="background1" w:themeShade="80"/>
                        <w:sz w:val="18"/>
                        <w:szCs w:val="18"/>
                      </w:rPr>
                      <w:t>. Fisc., PIVA e Reg. Imprese Venezia 02979860273</w:t>
                    </w:r>
                  </w:p>
                  <w:p w14:paraId="5C2AAA1D" w14:textId="77777777" w:rsidR="000A385F" w:rsidRDefault="00E14902"/>
                </w:txbxContent>
              </v:textbox>
            </v:shape>
          </w:pict>
        </mc:Fallback>
      </mc:AlternateContent>
    </w:r>
  </w:p>
  <w:p w14:paraId="44E69406" w14:textId="3BAB4E43" w:rsidR="000A385F" w:rsidRDefault="00B20A02" w:rsidP="000A385F">
    <w:pPr>
      <w:pStyle w:val="Pidipagina"/>
      <w:jc w:val="center"/>
    </w:pPr>
    <w:r>
      <w:rPr>
        <w:noProof/>
        <w:lang w:eastAsia="it-IT"/>
      </w:rPr>
      <mc:AlternateContent>
        <mc:Choice Requires="wps">
          <w:drawing>
            <wp:anchor distT="0" distB="0" distL="114300" distR="114300" simplePos="0" relativeHeight="251660288" behindDoc="0" locked="0" layoutInCell="0" allowOverlap="1" wp14:anchorId="67C50DE5" wp14:editId="26AC50FA">
              <wp:simplePos x="0" y="0"/>
              <wp:positionH relativeFrom="column">
                <wp:posOffset>5883275</wp:posOffset>
              </wp:positionH>
              <wp:positionV relativeFrom="paragraph">
                <wp:posOffset>255270</wp:posOffset>
              </wp:positionV>
              <wp:extent cx="790575" cy="323850"/>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2A9FE" w14:textId="77777777" w:rsidR="00130AE4" w:rsidRPr="000F53BB" w:rsidRDefault="003810EB">
                          <w:pPr>
                            <w:rPr>
                              <w:color w:val="A6A6A6" w:themeColor="background1" w:themeShade="A6"/>
                              <w:sz w:val="10"/>
                              <w:szCs w:val="10"/>
                            </w:rPr>
                          </w:pPr>
                          <w:r w:rsidRPr="000F53BB">
                            <w:rPr>
                              <w:color w:val="A6A6A6" w:themeColor="background1" w:themeShade="A6"/>
                              <w:sz w:val="10"/>
                              <w:szCs w:val="10"/>
                            </w:rPr>
                            <w:t>Certificato</w:t>
                          </w:r>
                        </w:p>
                        <w:p w14:paraId="10D0350A" w14:textId="77777777" w:rsidR="00130AE4" w:rsidRPr="000F53BB" w:rsidRDefault="003810EB">
                          <w:pPr>
                            <w:rPr>
                              <w:color w:val="A6A6A6" w:themeColor="background1" w:themeShade="A6"/>
                              <w:sz w:val="10"/>
                              <w:szCs w:val="10"/>
                            </w:rPr>
                          </w:pPr>
                          <w:r w:rsidRPr="000F53BB">
                            <w:rPr>
                              <w:color w:val="A6A6A6" w:themeColor="background1" w:themeShade="A6"/>
                              <w:sz w:val="10"/>
                              <w:szCs w:val="10"/>
                            </w:rPr>
                            <w:t>N° IT04/0210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50DE5" id="Casella di testo 6" o:spid="_x0000_s1027" type="#_x0000_t202" style="position:absolute;left:0;text-align:left;margin-left:463.25pt;margin-top:20.1pt;width:62.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" o:allowincell="f" filled="f" stroked="f" strokeweight=".5pt">
              <v:textbox>
                <w:txbxContent>
                  <w:p w14:paraId="34D2A9FE" w14:textId="77777777" w:rsidR="00130AE4" w:rsidRPr="000F53BB" w:rsidRDefault="003810EB">
                    <w:pPr>
                      <w:rPr>
                        <w:color w:val="A6A6A6" w:themeColor="background1" w:themeShade="A6"/>
                        <w:sz w:val="10"/>
                        <w:szCs w:val="10"/>
                      </w:rPr>
                    </w:pPr>
                    <w:r w:rsidRPr="000F53BB">
                      <w:rPr>
                        <w:color w:val="A6A6A6" w:themeColor="background1" w:themeShade="A6"/>
                        <w:sz w:val="10"/>
                        <w:szCs w:val="10"/>
                      </w:rPr>
                      <w:t>Certificato</w:t>
                    </w:r>
                  </w:p>
                  <w:p w14:paraId="10D0350A" w14:textId="77777777" w:rsidR="00130AE4" w:rsidRPr="000F53BB" w:rsidRDefault="003810EB">
                    <w:pPr>
                      <w:rPr>
                        <w:color w:val="A6A6A6" w:themeColor="background1" w:themeShade="A6"/>
                        <w:sz w:val="10"/>
                        <w:szCs w:val="10"/>
                      </w:rPr>
                    </w:pPr>
                    <w:r w:rsidRPr="000F53BB">
                      <w:rPr>
                        <w:color w:val="A6A6A6" w:themeColor="background1" w:themeShade="A6"/>
                        <w:sz w:val="10"/>
                        <w:szCs w:val="10"/>
                      </w:rPr>
                      <w:t>N° IT04/0210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DF09D" w14:textId="77777777" w:rsidR="007D6A30" w:rsidRDefault="007D6A30">
      <w:pPr>
        <w:spacing w:after="0" w:line="240" w:lineRule="auto"/>
      </w:pPr>
      <w:r>
        <w:separator/>
      </w:r>
    </w:p>
  </w:footnote>
  <w:footnote w:type="continuationSeparator" w:id="0">
    <w:p w14:paraId="1133167C" w14:textId="77777777" w:rsidR="007D6A30" w:rsidRDefault="007D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180A" w14:textId="431B74A0" w:rsidR="00130AE4" w:rsidRDefault="003810EB" w:rsidP="00130AE4">
    <w:pPr>
      <w:pStyle w:val="Intestazione"/>
    </w:pPr>
    <w:r>
      <w:rPr>
        <w:noProof/>
        <w:lang w:eastAsia="it-IT"/>
      </w:rPr>
      <w:drawing>
        <wp:anchor distT="0" distB="0" distL="114300" distR="114300" simplePos="0" relativeHeight="251655168" behindDoc="0" locked="0" layoutInCell="1" allowOverlap="1" wp14:anchorId="0B33E376" wp14:editId="60A9E375">
          <wp:simplePos x="0" y="0"/>
          <wp:positionH relativeFrom="column">
            <wp:posOffset>-529590</wp:posOffset>
          </wp:positionH>
          <wp:positionV relativeFrom="paragraph">
            <wp:posOffset>-265207</wp:posOffset>
          </wp:positionV>
          <wp:extent cx="2210400" cy="1080000"/>
          <wp:effectExtent l="0" t="0" r="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0400" cy="1080000"/>
                  </a:xfrm>
                  <a:prstGeom prst="rect">
                    <a:avLst/>
                  </a:prstGeom>
                </pic:spPr>
              </pic:pic>
            </a:graphicData>
          </a:graphic>
        </wp:anchor>
      </w:drawing>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1AA"/>
    <w:multiLevelType w:val="hybridMultilevel"/>
    <w:tmpl w:val="39DADE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364955"/>
    <w:multiLevelType w:val="hybridMultilevel"/>
    <w:tmpl w:val="E7F8C8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3A3C9E"/>
    <w:multiLevelType w:val="hybridMultilevel"/>
    <w:tmpl w:val="6F9ADF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9F254B"/>
    <w:multiLevelType w:val="hybridMultilevel"/>
    <w:tmpl w:val="DBF000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3635D4"/>
    <w:multiLevelType w:val="hybridMultilevel"/>
    <w:tmpl w:val="AE240A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F56C40"/>
    <w:multiLevelType w:val="hybridMultilevel"/>
    <w:tmpl w:val="434891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903C95"/>
    <w:multiLevelType w:val="hybridMultilevel"/>
    <w:tmpl w:val="8056D9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735037"/>
    <w:multiLevelType w:val="hybridMultilevel"/>
    <w:tmpl w:val="8A64CA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286469"/>
    <w:multiLevelType w:val="hybridMultilevel"/>
    <w:tmpl w:val="93B87EE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54BE3533"/>
    <w:multiLevelType w:val="hybridMultilevel"/>
    <w:tmpl w:val="554E19D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57801EFD"/>
    <w:multiLevelType w:val="hybridMultilevel"/>
    <w:tmpl w:val="1884E7F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AD21ABB"/>
    <w:multiLevelType w:val="hybridMultilevel"/>
    <w:tmpl w:val="2E2E22D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0"/>
  </w:num>
  <w:num w:numId="5">
    <w:abstractNumId w:val="11"/>
  </w:num>
  <w:num w:numId="6">
    <w:abstractNumId w:val="9"/>
  </w:num>
  <w:num w:numId="7">
    <w:abstractNumId w:val="5"/>
  </w:num>
  <w:num w:numId="8">
    <w:abstractNumId w:val="3"/>
  </w:num>
  <w:num w:numId="9">
    <w:abstractNumId w:val="1"/>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29"/>
    <w:rsid w:val="00075659"/>
    <w:rsid w:val="000F7FDB"/>
    <w:rsid w:val="00111874"/>
    <w:rsid w:val="00111919"/>
    <w:rsid w:val="001350BB"/>
    <w:rsid w:val="001A09D7"/>
    <w:rsid w:val="002D552A"/>
    <w:rsid w:val="002F3A4F"/>
    <w:rsid w:val="00300A64"/>
    <w:rsid w:val="00355042"/>
    <w:rsid w:val="003810EB"/>
    <w:rsid w:val="003A3EFD"/>
    <w:rsid w:val="004023D8"/>
    <w:rsid w:val="004D7A8F"/>
    <w:rsid w:val="007D6A30"/>
    <w:rsid w:val="00823FE2"/>
    <w:rsid w:val="00897D07"/>
    <w:rsid w:val="008A38B2"/>
    <w:rsid w:val="009D6C1B"/>
    <w:rsid w:val="00AE1170"/>
    <w:rsid w:val="00B20A02"/>
    <w:rsid w:val="00BE1C0B"/>
    <w:rsid w:val="00C52B64"/>
    <w:rsid w:val="00CA15DB"/>
    <w:rsid w:val="00CA7D01"/>
    <w:rsid w:val="00D74411"/>
    <w:rsid w:val="00E14902"/>
    <w:rsid w:val="00E45ABE"/>
    <w:rsid w:val="00EE4602"/>
    <w:rsid w:val="00F21B98"/>
    <w:rsid w:val="00F3411B"/>
    <w:rsid w:val="00F4193F"/>
    <w:rsid w:val="00FA3A1D"/>
    <w:rsid w:val="00FF27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B4CBF6"/>
  <w15:docId w15:val="{C66B8E0F-E169-42E9-AB86-4ECF6174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1C0B"/>
    <w:rPr>
      <w:rFonts w:ascii="Garamond" w:hAnsi="Garamond"/>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F2729"/>
    <w:pPr>
      <w:tabs>
        <w:tab w:val="center" w:pos="4819"/>
        <w:tab w:val="right" w:pos="9638"/>
      </w:tabs>
      <w:spacing w:after="0" w:line="240" w:lineRule="auto"/>
    </w:pPr>
    <w:rPr>
      <w:rFonts w:asciiTheme="minorHAnsi" w:hAnsiTheme="minorHAnsi"/>
      <w:sz w:val="22"/>
    </w:rPr>
  </w:style>
  <w:style w:type="character" w:customStyle="1" w:styleId="IntestazioneCarattere">
    <w:name w:val="Intestazione Carattere"/>
    <w:basedOn w:val="Carpredefinitoparagrafo"/>
    <w:link w:val="Intestazione"/>
    <w:uiPriority w:val="99"/>
    <w:rsid w:val="00FF2729"/>
  </w:style>
  <w:style w:type="paragraph" w:styleId="Pidipagina">
    <w:name w:val="footer"/>
    <w:basedOn w:val="Normale"/>
    <w:link w:val="PidipaginaCarattere"/>
    <w:uiPriority w:val="99"/>
    <w:unhideWhenUsed/>
    <w:rsid w:val="00FF2729"/>
    <w:pPr>
      <w:tabs>
        <w:tab w:val="center" w:pos="4819"/>
        <w:tab w:val="right" w:pos="9638"/>
      </w:tabs>
      <w:spacing w:after="0" w:line="240" w:lineRule="auto"/>
    </w:pPr>
    <w:rPr>
      <w:rFonts w:asciiTheme="minorHAnsi" w:hAnsiTheme="minorHAnsi"/>
      <w:sz w:val="22"/>
    </w:rPr>
  </w:style>
  <w:style w:type="character" w:customStyle="1" w:styleId="PidipaginaCarattere">
    <w:name w:val="Piè di pagina Carattere"/>
    <w:basedOn w:val="Carpredefinitoparagrafo"/>
    <w:link w:val="Pidipagina"/>
    <w:uiPriority w:val="99"/>
    <w:rsid w:val="00FF2729"/>
  </w:style>
  <w:style w:type="paragraph" w:styleId="Paragrafoelenco">
    <w:name w:val="List Paragraph"/>
    <w:basedOn w:val="Normale"/>
    <w:uiPriority w:val="34"/>
    <w:qFormat/>
    <w:rsid w:val="00FF2729"/>
    <w:pPr>
      <w:ind w:left="720"/>
      <w:contextualSpacing/>
    </w:pPr>
  </w:style>
  <w:style w:type="character" w:styleId="Collegamentoipertestuale">
    <w:name w:val="Hyperlink"/>
    <w:basedOn w:val="Carpredefinitoparagrafo"/>
    <w:uiPriority w:val="99"/>
    <w:unhideWhenUsed/>
    <w:rsid w:val="00E14902"/>
    <w:rPr>
      <w:color w:val="0000FF" w:themeColor="hyperlink"/>
      <w:u w:val="single"/>
    </w:rPr>
  </w:style>
  <w:style w:type="character" w:styleId="Menzionenonrisolta">
    <w:name w:val="Unresolved Mention"/>
    <w:basedOn w:val="Carpredefinitoparagrafo"/>
    <w:uiPriority w:val="99"/>
    <w:semiHidden/>
    <w:unhideWhenUsed/>
    <w:rsid w:val="00E1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917</Words>
  <Characters>5228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ffurtak</dc:creator>
  <cp:lastModifiedBy>Federica Furtak</cp:lastModifiedBy>
  <cp:revision>7</cp:revision>
  <cp:lastPrinted>2021-04-12T07:28:00Z</cp:lastPrinted>
  <dcterms:created xsi:type="dcterms:W3CDTF">2021-04-12T06:39:00Z</dcterms:created>
  <dcterms:modified xsi:type="dcterms:W3CDTF">2021-04-13T09:04:00Z</dcterms:modified>
</cp:coreProperties>
</file>