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F7" w:rsidRDefault="00D823F7" w:rsidP="00D823F7">
      <w:pPr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Pro</w:t>
      </w:r>
      <w:r w:rsidR="003116BB">
        <w:rPr>
          <w:rFonts w:asciiTheme="majorHAnsi" w:hAnsiTheme="majorHAnsi" w:cs="Times New Roman"/>
        </w:rPr>
        <w:t>g</w:t>
      </w:r>
      <w:proofErr w:type="spellEnd"/>
      <w:r>
        <w:rPr>
          <w:rFonts w:asciiTheme="majorHAnsi" w:hAnsiTheme="majorHAnsi" w:cs="Times New Roman"/>
        </w:rPr>
        <w:t xml:space="preserve">. n.   </w:t>
      </w:r>
      <w:r w:rsidR="00387DC3">
        <w:rPr>
          <w:rFonts w:asciiTheme="majorHAnsi" w:hAnsiTheme="majorHAnsi" w:cs="Times New Roman"/>
        </w:rPr>
        <w:t>10</w:t>
      </w:r>
      <w:r w:rsidR="00314C4E">
        <w:rPr>
          <w:rFonts w:asciiTheme="majorHAnsi" w:hAnsiTheme="majorHAnsi" w:cs="Times New Roman"/>
        </w:rPr>
        <w:t>1</w:t>
      </w:r>
      <w:r>
        <w:rPr>
          <w:rFonts w:asciiTheme="majorHAnsi" w:hAnsiTheme="majorHAnsi" w:cs="Times New Roman"/>
        </w:rPr>
        <w:t>/</w:t>
      </w:r>
      <w:r w:rsidR="00387DC3">
        <w:rPr>
          <w:rFonts w:asciiTheme="majorHAnsi" w:hAnsiTheme="majorHAnsi" w:cs="Times New Roman"/>
        </w:rPr>
        <w:t>20</w:t>
      </w:r>
      <w:r>
        <w:rPr>
          <w:rFonts w:asciiTheme="majorHAnsi" w:hAnsiTheme="majorHAnsi" w:cs="Times New Roman"/>
        </w:rPr>
        <w:t>/ UCM/</w:t>
      </w:r>
      <w:r w:rsidR="00387DC3">
        <w:rPr>
          <w:rFonts w:asciiTheme="majorHAnsi" w:hAnsiTheme="majorHAnsi" w:cs="Times New Roman"/>
        </w:rPr>
        <w:t>DG/FF</w:t>
      </w:r>
    </w:p>
    <w:p w:rsidR="00D823F7" w:rsidRDefault="00D823F7" w:rsidP="00D823F7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Venezia </w:t>
      </w:r>
      <w:r w:rsidR="00387DC3">
        <w:rPr>
          <w:rFonts w:asciiTheme="majorHAnsi" w:hAnsiTheme="majorHAnsi" w:cs="Times New Roman"/>
        </w:rPr>
        <w:t>15 dicembre 2020</w:t>
      </w:r>
    </w:p>
    <w:p w:rsidR="00D823F7" w:rsidRDefault="00D823F7" w:rsidP="00D823F7">
      <w:pPr>
        <w:rPr>
          <w:rFonts w:asciiTheme="majorHAnsi" w:hAnsiTheme="majorHAnsi" w:cs="Times New Roman"/>
        </w:rPr>
      </w:pPr>
    </w:p>
    <w:p w:rsidR="00D823F7" w:rsidRDefault="00D823F7" w:rsidP="00D823F7">
      <w:pPr>
        <w:rPr>
          <w:rFonts w:asciiTheme="majorHAnsi" w:hAnsiTheme="majorHAnsi" w:cs="Times New Roman"/>
          <w:b/>
        </w:rPr>
      </w:pPr>
    </w:p>
    <w:p w:rsidR="00D823F7" w:rsidRPr="003871A8" w:rsidRDefault="00D823F7" w:rsidP="00D823F7">
      <w:pPr>
        <w:rPr>
          <w:rFonts w:asciiTheme="majorHAnsi" w:hAnsiTheme="majorHAnsi" w:cs="Times New Roman"/>
          <w:b/>
        </w:rPr>
      </w:pPr>
      <w:r w:rsidRPr="003871A8">
        <w:rPr>
          <w:rFonts w:asciiTheme="majorHAnsi" w:hAnsiTheme="majorHAnsi" w:cs="Times New Roman"/>
          <w:b/>
        </w:rPr>
        <w:t>Oggetto</w:t>
      </w:r>
      <w:r>
        <w:rPr>
          <w:rFonts w:asciiTheme="majorHAnsi" w:hAnsiTheme="majorHAnsi" w:cs="Times New Roman"/>
          <w:b/>
        </w:rPr>
        <w:t>: Proposta di determina a contrarre e affidamento</w:t>
      </w:r>
    </w:p>
    <w:p w:rsidR="00D823F7" w:rsidRDefault="00D823F7" w:rsidP="00D823F7">
      <w:pPr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Il sottoscritto Gino Chioetto in qualità di Responsabile Unico del Procedimento relativo alla prosecuzione del servizio whistleblowing in modalità </w:t>
      </w:r>
      <w:proofErr w:type="spellStart"/>
      <w:r>
        <w:rPr>
          <w:rFonts w:asciiTheme="majorHAnsi" w:hAnsiTheme="majorHAnsi" w:cs="Times New Roman"/>
        </w:rPr>
        <w:t>Saas</w:t>
      </w:r>
      <w:proofErr w:type="spellEnd"/>
      <w:r>
        <w:rPr>
          <w:rFonts w:asciiTheme="majorHAnsi" w:hAnsiTheme="majorHAnsi" w:cs="Times New Roman"/>
        </w:rPr>
        <w:t xml:space="preserve"> per l’anno 20</w:t>
      </w:r>
      <w:r w:rsidR="00387DC3">
        <w:rPr>
          <w:rFonts w:asciiTheme="majorHAnsi" w:hAnsiTheme="majorHAnsi" w:cs="Times New Roman"/>
        </w:rPr>
        <w:t>2</w:t>
      </w:r>
      <w:r w:rsidR="00314C4E">
        <w:rPr>
          <w:rFonts w:asciiTheme="majorHAnsi" w:hAnsiTheme="majorHAnsi" w:cs="Times New Roman"/>
        </w:rPr>
        <w:t>1</w:t>
      </w:r>
      <w:r>
        <w:rPr>
          <w:rFonts w:asciiTheme="majorHAnsi" w:hAnsiTheme="majorHAnsi" w:cs="Times New Roman"/>
        </w:rPr>
        <w:t>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/>
        </w:rPr>
      </w:pPr>
    </w:p>
    <w:p w:rsidR="00D823F7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  <w:b/>
        </w:rPr>
        <w:t>ATTESO che</w:t>
      </w:r>
      <w:r w:rsidRPr="00ED5100">
        <w:rPr>
          <w:rFonts w:asciiTheme="majorHAnsi" w:hAnsiTheme="majorHAnsi" w:cs="Times New Roman"/>
        </w:rPr>
        <w:t xml:space="preserve"> A.M.E.S. S.p.A. ha necessità di acquisire il servizio</w:t>
      </w:r>
      <w:r>
        <w:rPr>
          <w:rFonts w:asciiTheme="majorHAnsi" w:hAnsiTheme="majorHAnsi" w:cs="Times New Roman"/>
        </w:rPr>
        <w:t xml:space="preserve"> </w:t>
      </w:r>
      <w:proofErr w:type="gramStart"/>
      <w:r>
        <w:rPr>
          <w:rFonts w:asciiTheme="majorHAnsi" w:hAnsiTheme="majorHAnsi" w:cs="Times New Roman"/>
        </w:rPr>
        <w:t>informatizzato  a</w:t>
      </w:r>
      <w:proofErr w:type="gramEnd"/>
      <w:r>
        <w:rPr>
          <w:rFonts w:asciiTheme="majorHAnsi" w:hAnsiTheme="majorHAnsi" w:cs="Times New Roman"/>
        </w:rPr>
        <w:t xml:space="preserve"> tutela del whistleblower che intenda denunciare, con garanzia di anonimato, eventi corruttivi o fenomeni di </w:t>
      </w:r>
      <w:proofErr w:type="spellStart"/>
      <w:r>
        <w:rPr>
          <w:rFonts w:asciiTheme="majorHAnsi" w:hAnsiTheme="majorHAnsi" w:cs="Times New Roman"/>
        </w:rPr>
        <w:t>maladministration</w:t>
      </w:r>
      <w:proofErr w:type="spellEnd"/>
      <w:r>
        <w:rPr>
          <w:rFonts w:asciiTheme="majorHAnsi" w:hAnsiTheme="majorHAnsi" w:cs="Times New Roman"/>
        </w:rPr>
        <w:t xml:space="preserve"> che potrebbero occorrere all’interno della società in adempimento a precisi obblighi di legge e secondo le indicazioni date dall’Autorità Nazionale Anticorruzione;</w:t>
      </w:r>
    </w:p>
    <w:p w:rsidR="00D823F7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  <w:b/>
        </w:rPr>
        <w:t>ATTESO che</w:t>
      </w:r>
      <w:r w:rsidR="00546E0B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</w:rPr>
        <w:t>ai sensi dell’articolo 32, comma 2, del D. Lgs. 50/2016:</w:t>
      </w:r>
    </w:p>
    <w:p w:rsidR="00D823F7" w:rsidRDefault="00D823F7" w:rsidP="003116BB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Theme="majorHAnsi" w:hAnsiTheme="majorHAnsi"/>
          <w:bCs/>
        </w:rPr>
      </w:pPr>
      <w:r w:rsidRPr="007D6041">
        <w:rPr>
          <w:rFonts w:asciiTheme="majorHAnsi" w:hAnsiTheme="majorHAnsi"/>
          <w:bCs/>
        </w:rPr>
        <w:t xml:space="preserve">Il fine del contratto è quello di provvedere all’affidamento di un servizio che consenta al dipendente di denunciare comportamenti corruttivi </w:t>
      </w:r>
      <w:r>
        <w:rPr>
          <w:rFonts w:asciiTheme="majorHAnsi" w:hAnsiTheme="majorHAnsi"/>
          <w:bCs/>
        </w:rPr>
        <w:t>con garanzia di anonimato;</w:t>
      </w:r>
    </w:p>
    <w:p w:rsidR="00D823F7" w:rsidRPr="007D6041" w:rsidRDefault="00D823F7" w:rsidP="003116BB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Theme="majorHAnsi" w:hAnsiTheme="majorHAnsi"/>
          <w:bCs/>
        </w:rPr>
      </w:pPr>
      <w:r w:rsidRPr="007D6041">
        <w:rPr>
          <w:rFonts w:asciiTheme="majorHAnsi" w:hAnsiTheme="majorHAnsi"/>
          <w:bCs/>
        </w:rPr>
        <w:t>Il whistleblowing è una misura obbligatoria prevista dalla legge anticorruzione, dal Piano Nazionale Anticorruzione e dal Piano Triennale di Prevenzione della Corruzione del Comune di Venezia, per prevenire l’insorgere di fenomeni corruttivi.</w:t>
      </w:r>
      <w:r w:rsidR="00546E0B">
        <w:rPr>
          <w:rFonts w:asciiTheme="majorHAnsi" w:hAnsiTheme="majorHAnsi"/>
          <w:bCs/>
        </w:rPr>
        <w:t xml:space="preserve"> </w:t>
      </w:r>
      <w:r w:rsidRPr="007D6041">
        <w:rPr>
          <w:rFonts w:asciiTheme="majorHAnsi" w:hAnsiTheme="majorHAnsi"/>
          <w:bCs/>
        </w:rPr>
        <w:t xml:space="preserve">Attraverso l’applicativo il dipendente può inviare una segnalazione compilando il </w:t>
      </w:r>
      <w:proofErr w:type="spellStart"/>
      <w:r w:rsidRPr="007D6041">
        <w:rPr>
          <w:rFonts w:asciiTheme="majorHAnsi" w:hAnsiTheme="majorHAnsi"/>
          <w:bCs/>
        </w:rPr>
        <w:t>form</w:t>
      </w:r>
      <w:proofErr w:type="spellEnd"/>
      <w:r w:rsidRPr="007D6041">
        <w:rPr>
          <w:rFonts w:asciiTheme="majorHAnsi" w:hAnsiTheme="majorHAnsi"/>
          <w:bCs/>
        </w:rPr>
        <w:t xml:space="preserve"> e ricevendo, subito dopo la separazione dei suoi dati identificativi dal contesto della segnalazione, un username e una password tramite mail. Tali codici sono indispensabili al fine di seguire l’iter della segnalazione e gli </w:t>
      </w:r>
      <w:proofErr w:type="spellStart"/>
      <w:r w:rsidRPr="007D6041">
        <w:rPr>
          <w:rFonts w:asciiTheme="majorHAnsi" w:hAnsiTheme="majorHAnsi"/>
          <w:bCs/>
        </w:rPr>
        <w:t>imput</w:t>
      </w:r>
      <w:proofErr w:type="spellEnd"/>
      <w:r w:rsidRPr="007D6041">
        <w:rPr>
          <w:rFonts w:asciiTheme="majorHAnsi" w:hAnsiTheme="majorHAnsi"/>
          <w:bCs/>
        </w:rPr>
        <w:t xml:space="preserve"> del responsabile di prevenzione della corruzione, in quanto quest’ultimo non conosce l’identità del segnalante</w:t>
      </w:r>
    </w:p>
    <w:p w:rsidR="00D823F7" w:rsidRPr="007D6041" w:rsidRDefault="00D823F7" w:rsidP="003116BB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Theme="majorHAnsi" w:hAnsiTheme="majorHAnsi"/>
          <w:bCs/>
        </w:rPr>
      </w:pPr>
      <w:r w:rsidRPr="007D6041">
        <w:rPr>
          <w:rFonts w:asciiTheme="majorHAnsi" w:hAnsiTheme="majorHAnsi"/>
          <w:bCs/>
        </w:rPr>
        <w:t xml:space="preserve">La durata del contratto </w:t>
      </w:r>
      <w:r>
        <w:rPr>
          <w:rFonts w:asciiTheme="majorHAnsi" w:hAnsiTheme="majorHAnsi"/>
          <w:bCs/>
        </w:rPr>
        <w:t>è stabilita in un anno</w:t>
      </w:r>
      <w:r w:rsidRPr="007D6041">
        <w:rPr>
          <w:rFonts w:asciiTheme="majorHAnsi" w:hAnsiTheme="majorHAnsi"/>
          <w:bCs/>
        </w:rPr>
        <w:t>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/>
        </w:rPr>
      </w:pPr>
      <w:r w:rsidRPr="00ED5100">
        <w:rPr>
          <w:rFonts w:asciiTheme="majorHAnsi" w:hAnsiTheme="majorHAnsi" w:cs="Times New Roman"/>
          <w:b/>
        </w:rPr>
        <w:t>VISTO</w:t>
      </w:r>
      <w:r w:rsidRPr="00ED5100">
        <w:rPr>
          <w:rFonts w:asciiTheme="majorHAnsi" w:hAnsiTheme="majorHAnsi" w:cs="Times New Roman"/>
        </w:rPr>
        <w:t xml:space="preserve"> il </w:t>
      </w:r>
      <w:proofErr w:type="spellStart"/>
      <w:r w:rsidRPr="00ED5100">
        <w:rPr>
          <w:rFonts w:asciiTheme="majorHAnsi" w:hAnsiTheme="majorHAnsi" w:cs="Times New Roman"/>
        </w:rPr>
        <w:t>D.Lgs.</w:t>
      </w:r>
      <w:proofErr w:type="spellEnd"/>
      <w:r w:rsidRPr="00ED5100">
        <w:rPr>
          <w:rFonts w:asciiTheme="majorHAnsi" w:hAnsiTheme="majorHAnsi" w:cs="Times New Roman"/>
        </w:rPr>
        <w:t xml:space="preserve"> 50/2016, art. 36, comma 2: </w:t>
      </w:r>
      <w:r w:rsidRPr="00ED5100">
        <w:rPr>
          <w:rFonts w:asciiTheme="majorHAnsi" w:hAnsiTheme="majorHAnsi"/>
          <w:bCs/>
        </w:rPr>
        <w:t>«</w:t>
      </w:r>
      <w:r w:rsidRPr="00ED5100">
        <w:rPr>
          <w:rFonts w:asciiTheme="majorHAnsi" w:hAnsiTheme="majorHAnsi" w:cs="Times New Roman"/>
        </w:rPr>
        <w:t xml:space="preserve">le stazioni appaltanti procedono all’affidamento di lavori, servizi e forniture di importo inferiore alle soglie di cui all’articolo 35, secondo le seguenti modalità: </w:t>
      </w:r>
      <w:r w:rsidRPr="00ED5100">
        <w:rPr>
          <w:rFonts w:asciiTheme="majorHAnsi" w:hAnsiTheme="majorHAnsi" w:cs="Times New Roman"/>
          <w:i/>
        </w:rPr>
        <w:t>a)</w:t>
      </w:r>
      <w:r w:rsidRPr="00ED5100">
        <w:rPr>
          <w:rFonts w:asciiTheme="majorHAnsi" w:hAnsiTheme="majorHAnsi" w:cs="Times New Roman"/>
        </w:rPr>
        <w:t xml:space="preserve"> per affidamenti di importo inferiore a 40.000 euro, mediante affidamento diretto, adeguatamente motivato</w:t>
      </w:r>
      <w:r w:rsidRPr="00ED5100">
        <w:rPr>
          <w:rFonts w:asciiTheme="majorHAnsi" w:hAnsiTheme="majorHAnsi"/>
          <w:bCs/>
        </w:rPr>
        <w:t>»;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  <w:b/>
        </w:rPr>
        <w:t>VISTO</w:t>
      </w:r>
      <w:r w:rsidR="003116BB">
        <w:rPr>
          <w:rFonts w:asciiTheme="majorHAnsi" w:hAnsiTheme="majorHAnsi" w:cs="Times New Roman"/>
          <w:b/>
        </w:rPr>
        <w:t xml:space="preserve"> </w:t>
      </w:r>
      <w:hyperlink r:id="rId7" w:history="1">
        <w:r w:rsidRPr="00ED5100">
          <w:rPr>
            <w:rFonts w:asciiTheme="majorHAnsi" w:eastAsia="Calibri" w:hAnsiTheme="majorHAnsi" w:cs="Times New Roman"/>
            <w:bCs/>
            <w:color w:val="0563C1"/>
            <w:u w:val="single"/>
          </w:rPr>
          <w:t>Cons. Stato, commissione speciale, parere 13 settembre 2016, n. 1903/2016</w:t>
        </w:r>
      </w:hyperlink>
      <w:r w:rsidRPr="00ED5100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>h</w:t>
      </w:r>
      <w:r w:rsidRPr="00ED5100">
        <w:rPr>
          <w:rFonts w:asciiTheme="majorHAnsi" w:hAnsiTheme="majorHAnsi" w:cs="Times New Roman"/>
        </w:rPr>
        <w:t xml:space="preserve">a ritenuto che la determinazione a contrattare, a differenza delle procedure negoziate di cui al </w:t>
      </w:r>
      <w:proofErr w:type="spellStart"/>
      <w:r w:rsidRPr="00ED5100">
        <w:rPr>
          <w:rFonts w:asciiTheme="majorHAnsi" w:hAnsiTheme="majorHAnsi" w:cs="Times New Roman"/>
        </w:rPr>
        <w:t>D.Lgs.</w:t>
      </w:r>
      <w:proofErr w:type="spellEnd"/>
      <w:r w:rsidRPr="00ED5100">
        <w:rPr>
          <w:rFonts w:asciiTheme="majorHAnsi" w:hAnsiTheme="majorHAnsi" w:cs="Times New Roman"/>
        </w:rPr>
        <w:t xml:space="preserve"> 50/2016, art. 36, comma 2, </w:t>
      </w:r>
      <w:proofErr w:type="spellStart"/>
      <w:r w:rsidRPr="00ED5100">
        <w:rPr>
          <w:rFonts w:asciiTheme="majorHAnsi" w:hAnsiTheme="majorHAnsi" w:cs="Times New Roman"/>
        </w:rPr>
        <w:t>lett</w:t>
      </w:r>
      <w:proofErr w:type="spellEnd"/>
      <w:r w:rsidRPr="00ED5100">
        <w:rPr>
          <w:rFonts w:asciiTheme="majorHAnsi" w:hAnsiTheme="majorHAnsi" w:cs="Times New Roman"/>
        </w:rPr>
        <w:t xml:space="preserve">, da </w:t>
      </w:r>
      <w:r w:rsidRPr="00ED5100">
        <w:rPr>
          <w:rFonts w:asciiTheme="majorHAnsi" w:hAnsiTheme="majorHAnsi" w:cs="Times New Roman"/>
          <w:i/>
        </w:rPr>
        <w:t>b)</w:t>
      </w:r>
      <w:r w:rsidRPr="00ED5100">
        <w:rPr>
          <w:rFonts w:asciiTheme="majorHAnsi" w:hAnsiTheme="majorHAnsi" w:cs="Times New Roman"/>
        </w:rPr>
        <w:t xml:space="preserve"> a </w:t>
      </w:r>
      <w:r w:rsidRPr="00ED5100">
        <w:rPr>
          <w:rFonts w:asciiTheme="majorHAnsi" w:hAnsiTheme="majorHAnsi" w:cs="Times New Roman"/>
          <w:i/>
        </w:rPr>
        <w:t>c)</w:t>
      </w:r>
      <w:r w:rsidRPr="00ED5100">
        <w:rPr>
          <w:rFonts w:asciiTheme="majorHAnsi" w:hAnsiTheme="majorHAnsi" w:cs="Times New Roman"/>
        </w:rPr>
        <w:t>, possa essere unica e che quindi possa contestualmente sia riepilogare l’</w:t>
      </w:r>
      <w:r w:rsidRPr="00ED5100">
        <w:rPr>
          <w:rFonts w:asciiTheme="majorHAnsi" w:hAnsiTheme="majorHAnsi" w:cs="Times New Roman"/>
          <w:i/>
        </w:rPr>
        <w:t>iter</w:t>
      </w:r>
      <w:r w:rsidRPr="00ED5100">
        <w:rPr>
          <w:rFonts w:asciiTheme="majorHAnsi" w:hAnsiTheme="majorHAnsi" w:cs="Times New Roman"/>
        </w:rPr>
        <w:t xml:space="preserve"> motivazionale seguito per la scelta del contraente rispetto alle evidenziate necessità della Società, sia recare l’efficace definitiva aggiudicazione, tutto ciò anche nella </w:t>
      </w:r>
      <w:r w:rsidRPr="00ED5100">
        <w:rPr>
          <w:rFonts w:asciiTheme="majorHAnsi" w:hAnsiTheme="majorHAnsi" w:cs="Times New Roman"/>
          <w:i/>
        </w:rPr>
        <w:t>ratio</w:t>
      </w:r>
      <w:r w:rsidRPr="00ED5100">
        <w:rPr>
          <w:rFonts w:asciiTheme="majorHAnsi" w:hAnsiTheme="majorHAnsi" w:cs="Times New Roman"/>
        </w:rPr>
        <w:t xml:space="preserve"> di semplificazione e nel collegato principio di libertà delle forme che connotano l’</w:t>
      </w:r>
      <w:r w:rsidRPr="00ED5100">
        <w:rPr>
          <w:rFonts w:asciiTheme="majorHAnsi" w:eastAsia="Times New Roman" w:hAnsiTheme="majorHAnsi" w:cs="Times New Roman"/>
          <w:bCs/>
          <w:iCs/>
          <w:color w:val="000000"/>
          <w:lang w:eastAsia="it-IT"/>
        </w:rPr>
        <w:t>«affidamento diretto»;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  <w:b/>
        </w:rPr>
        <w:t>CONSIDERATO</w:t>
      </w:r>
      <w:r w:rsidRPr="00ED5100">
        <w:rPr>
          <w:rFonts w:asciiTheme="majorHAnsi" w:hAnsiTheme="majorHAnsi" w:cs="Times New Roman"/>
        </w:rPr>
        <w:t xml:space="preserve"> che il richiamato </w:t>
      </w:r>
      <w:proofErr w:type="spellStart"/>
      <w:r w:rsidRPr="00ED5100">
        <w:rPr>
          <w:rFonts w:asciiTheme="majorHAnsi" w:hAnsiTheme="majorHAnsi" w:cs="Times New Roman"/>
        </w:rPr>
        <w:t>D.Lgs.</w:t>
      </w:r>
      <w:proofErr w:type="spellEnd"/>
      <w:r w:rsidRPr="00ED5100">
        <w:rPr>
          <w:rFonts w:asciiTheme="majorHAnsi" w:hAnsiTheme="majorHAnsi" w:cs="Times New Roman"/>
        </w:rPr>
        <w:t xml:space="preserve"> 50/2016, art. 36, comma 2, lett. </w:t>
      </w:r>
      <w:r w:rsidRPr="00ED5100">
        <w:rPr>
          <w:rFonts w:asciiTheme="majorHAnsi" w:hAnsiTheme="majorHAnsi" w:cs="Times New Roman"/>
          <w:i/>
        </w:rPr>
        <w:t>a)</w:t>
      </w:r>
      <w:r w:rsidRPr="00ED5100">
        <w:rPr>
          <w:rFonts w:asciiTheme="majorHAnsi" w:hAnsiTheme="majorHAnsi" w:cs="Times New Roman"/>
        </w:rPr>
        <w:t>, dà attuazione normativa al principio secondo cui per importi d’affidamento inferiori alla soglia comunitaria, laddove ricorra «un valore economico molto limitato» (</w:t>
      </w:r>
      <w:hyperlink r:id="rId8" w:history="1">
        <w:r w:rsidRPr="00ED5100">
          <w:rPr>
            <w:rFonts w:asciiTheme="majorHAnsi" w:hAnsiTheme="majorHAnsi" w:cs="Times New Roman"/>
            <w:color w:val="0000FF" w:themeColor="hyperlink"/>
            <w:u w:val="single"/>
          </w:rPr>
          <w:t xml:space="preserve">Comunicazione interpretativa della Commissione, G.U.U.E., 1° agosto 2006, C/179, </w:t>
        </w:r>
        <w:proofErr w:type="spellStart"/>
        <w:r w:rsidRPr="00ED5100">
          <w:rPr>
            <w:rFonts w:asciiTheme="majorHAnsi" w:hAnsiTheme="majorHAnsi" w:cs="Times New Roman"/>
            <w:color w:val="0000FF" w:themeColor="hyperlink"/>
            <w:u w:val="single"/>
          </w:rPr>
          <w:t>sottoparagrafo</w:t>
        </w:r>
        <w:proofErr w:type="spellEnd"/>
        <w:r w:rsidRPr="00ED5100">
          <w:rPr>
            <w:rFonts w:asciiTheme="majorHAnsi" w:hAnsiTheme="majorHAnsi" w:cs="Times New Roman"/>
            <w:color w:val="0000FF" w:themeColor="hyperlink"/>
            <w:u w:val="single"/>
          </w:rPr>
          <w:t xml:space="preserve"> 1.3.</w:t>
        </w:r>
      </w:hyperlink>
      <w:r w:rsidRPr="00ED5100">
        <w:rPr>
          <w:rFonts w:asciiTheme="majorHAnsi" w:hAnsiTheme="majorHAnsi" w:cs="Times New Roman"/>
        </w:rPr>
        <w:t xml:space="preserve">), non occorre che sia comunque garantito il rispetto del principio della concorrenza per il mercato, richiesto invece per le procedure negoziate di cui al </w:t>
      </w:r>
      <w:proofErr w:type="spellStart"/>
      <w:r w:rsidRPr="00ED5100">
        <w:rPr>
          <w:rFonts w:asciiTheme="majorHAnsi" w:hAnsiTheme="majorHAnsi" w:cs="Times New Roman"/>
        </w:rPr>
        <w:t>D.Lgs.</w:t>
      </w:r>
      <w:proofErr w:type="spellEnd"/>
      <w:r w:rsidRPr="00ED5100">
        <w:rPr>
          <w:rFonts w:asciiTheme="majorHAnsi" w:hAnsiTheme="majorHAnsi" w:cs="Times New Roman"/>
        </w:rPr>
        <w:t xml:space="preserve"> 50/2016, art. 36, comma 2, </w:t>
      </w:r>
      <w:proofErr w:type="spellStart"/>
      <w:r w:rsidRPr="00ED5100">
        <w:rPr>
          <w:rFonts w:asciiTheme="majorHAnsi" w:hAnsiTheme="majorHAnsi" w:cs="Times New Roman"/>
        </w:rPr>
        <w:t>lett</w:t>
      </w:r>
      <w:proofErr w:type="spellEnd"/>
      <w:r w:rsidRPr="00ED5100">
        <w:rPr>
          <w:rFonts w:asciiTheme="majorHAnsi" w:hAnsiTheme="majorHAnsi" w:cs="Times New Roman"/>
        </w:rPr>
        <w:t xml:space="preserve">, da </w:t>
      </w:r>
      <w:r w:rsidRPr="00ED5100">
        <w:rPr>
          <w:rFonts w:asciiTheme="majorHAnsi" w:hAnsiTheme="majorHAnsi" w:cs="Times New Roman"/>
          <w:i/>
        </w:rPr>
        <w:t>b)</w:t>
      </w:r>
      <w:r w:rsidRPr="00ED5100">
        <w:rPr>
          <w:rFonts w:asciiTheme="majorHAnsi" w:hAnsiTheme="majorHAnsi" w:cs="Times New Roman"/>
        </w:rPr>
        <w:t xml:space="preserve"> a </w:t>
      </w:r>
      <w:r w:rsidRPr="00ED5100">
        <w:rPr>
          <w:rFonts w:asciiTheme="majorHAnsi" w:hAnsiTheme="majorHAnsi" w:cs="Times New Roman"/>
          <w:i/>
        </w:rPr>
        <w:t>c)</w:t>
      </w:r>
      <w:r w:rsidRPr="00ED5100">
        <w:rPr>
          <w:rFonts w:asciiTheme="majorHAnsi" w:hAnsiTheme="majorHAnsi" w:cs="Times New Roman"/>
        </w:rPr>
        <w:t xml:space="preserve">; 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  <w:b/>
        </w:rPr>
        <w:t>CONSIDERATO</w:t>
      </w:r>
      <w:r w:rsidRPr="00ED5100">
        <w:rPr>
          <w:rFonts w:asciiTheme="majorHAnsi" w:hAnsiTheme="majorHAnsi" w:cs="Times New Roman"/>
        </w:rPr>
        <w:t xml:space="preserve"> comunque che nella fattispecie non ricorre </w:t>
      </w:r>
      <w:r w:rsidRPr="00ED5100">
        <w:rPr>
          <w:rFonts w:asciiTheme="majorHAnsi" w:eastAsia="Times New Roman" w:hAnsiTheme="majorHAnsi" w:cs="Times New Roman"/>
          <w:bCs/>
          <w:iCs/>
          <w:color w:val="000000"/>
          <w:lang w:eastAsia="it-IT"/>
        </w:rPr>
        <w:t>«</w:t>
      </w:r>
      <w:r w:rsidRPr="00ED5100">
        <w:rPr>
          <w:rFonts w:asciiTheme="majorHAnsi" w:hAnsiTheme="majorHAnsi" w:cs="Times New Roman"/>
        </w:rPr>
        <w:t>un interesse transfrontaliero certo in conformità ai criteri elaborati dalla Corte di Giustizia</w:t>
      </w:r>
      <w:r w:rsidRPr="00ED5100">
        <w:rPr>
          <w:rFonts w:asciiTheme="majorHAnsi" w:eastAsia="Times New Roman" w:hAnsiTheme="majorHAnsi" w:cs="Times New Roman"/>
          <w:bCs/>
          <w:iCs/>
          <w:color w:val="000000"/>
          <w:lang w:eastAsia="it-IT"/>
        </w:rPr>
        <w:t>»</w:t>
      </w:r>
      <w:r w:rsidRPr="00ED5100">
        <w:rPr>
          <w:rFonts w:asciiTheme="majorHAnsi" w:hAnsiTheme="majorHAnsi" w:cs="Times New Roman"/>
        </w:rPr>
        <w:t xml:space="preserve"> (ANAC, linee guida n. 4, paragrafo 1.5, in </w:t>
      </w:r>
      <w:hyperlink r:id="rId9" w:history="1">
        <w:r w:rsidRPr="00ED5100">
          <w:rPr>
            <w:rFonts w:asciiTheme="majorHAnsi" w:hAnsiTheme="majorHAnsi" w:cs="Times New Roman"/>
            <w:i/>
            <w:color w:val="0000FF" w:themeColor="hyperlink"/>
            <w:u w:val="single"/>
          </w:rPr>
          <w:t>G.U.</w:t>
        </w:r>
        <w:r w:rsidRPr="00ED5100">
          <w:rPr>
            <w:rFonts w:asciiTheme="majorHAnsi" w:hAnsiTheme="majorHAnsi" w:cs="Times New Roman"/>
            <w:color w:val="0000FF" w:themeColor="hyperlink"/>
            <w:u w:val="single"/>
          </w:rPr>
          <w:t xml:space="preserve"> 23 novembre 2016, n. 274</w:t>
        </w:r>
      </w:hyperlink>
      <w:r w:rsidRPr="00ED5100">
        <w:rPr>
          <w:rFonts w:asciiTheme="majorHAnsi" w:hAnsiTheme="majorHAnsi" w:cs="Times New Roman"/>
        </w:rPr>
        <w:t xml:space="preserve">); 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274205" w:rsidRDefault="00274205" w:rsidP="003116BB">
      <w:pPr>
        <w:jc w:val="both"/>
        <w:rPr>
          <w:rFonts w:asciiTheme="majorHAnsi" w:hAnsiTheme="majorHAnsi" w:cs="Times New Roman"/>
          <w:b/>
        </w:rPr>
      </w:pPr>
    </w:p>
    <w:p w:rsidR="00274205" w:rsidRDefault="00274205" w:rsidP="003116BB">
      <w:pPr>
        <w:jc w:val="both"/>
        <w:rPr>
          <w:rFonts w:asciiTheme="majorHAnsi" w:hAnsiTheme="majorHAnsi" w:cs="Times New Roman"/>
          <w:b/>
        </w:rPr>
      </w:pPr>
    </w:p>
    <w:p w:rsidR="00D823F7" w:rsidRPr="00ED5100" w:rsidRDefault="00D823F7" w:rsidP="003116BB">
      <w:pPr>
        <w:spacing w:after="240"/>
        <w:jc w:val="both"/>
        <w:rPr>
          <w:rFonts w:asciiTheme="majorHAnsi" w:hAnsiTheme="majorHAnsi" w:cs="Times New Roman"/>
          <w:b/>
        </w:rPr>
      </w:pPr>
      <w:r w:rsidRPr="00ED5100">
        <w:rPr>
          <w:rFonts w:asciiTheme="majorHAnsi" w:hAnsiTheme="majorHAnsi" w:cs="Times New Roman"/>
          <w:b/>
        </w:rPr>
        <w:lastRenderedPageBreak/>
        <w:t>CONSIDERATO che:</w:t>
      </w:r>
    </w:p>
    <w:p w:rsidR="00D823F7" w:rsidRPr="00ED5100" w:rsidRDefault="00D823F7" w:rsidP="003116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>va comunque garantito l’interesse-dovere di A.M.E.S. S.p.A. alla convenienza economica nell’acquisizione di una prestazione a titolo oneroso;</w:t>
      </w:r>
    </w:p>
    <w:p w:rsidR="00D823F7" w:rsidRPr="00ED5100" w:rsidRDefault="00D823F7" w:rsidP="003116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>la dovuta rilevanza di questo principio gioca su un piano diverso da quello della garanzia del principio concorrenziale, nel senso che il principio della convenienza può comunque essere garantito, anzi, a maggior ragione deve essere garantito proprio perché non c’è gara aperta a ogni possibile operatore economico;</w:t>
      </w:r>
    </w:p>
    <w:p w:rsidR="00D823F7" w:rsidRPr="00ED5100" w:rsidRDefault="00D823F7" w:rsidP="003116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>tuttavia, la gara non è l’unica metodologia per garantire il principio di convenienza, in quanto lo strumento giuridico può e deve minimamente essere quello dell’indagine di mercato, nel senso “classico” del termine, cioè come mera attività istruttoria volta ad acclarare motivatamente quali siano le migliori condizioni economiche spuntabili sul mercato;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  <w:b/>
        </w:rPr>
      </w:pPr>
      <w:r w:rsidRPr="00ED5100">
        <w:rPr>
          <w:rFonts w:asciiTheme="majorHAnsi" w:hAnsiTheme="majorHAnsi" w:cs="Times New Roman"/>
          <w:b/>
        </w:rPr>
        <w:t>CONSIDERATO che:</w:t>
      </w:r>
    </w:p>
    <w:p w:rsidR="00D823F7" w:rsidRPr="00ED5100" w:rsidRDefault="00D823F7" w:rsidP="003116B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ED5100">
        <w:rPr>
          <w:rFonts w:asciiTheme="majorHAnsi" w:hAnsiTheme="majorHAnsi" w:cs="Times New Roman"/>
        </w:rPr>
        <w:t xml:space="preserve">si intendono per </w:t>
      </w:r>
      <w:r w:rsidRPr="00ED5100">
        <w:rPr>
          <w:rFonts w:asciiTheme="majorHAnsi" w:hAnsiTheme="majorHAnsi"/>
          <w:bCs/>
        </w:rPr>
        <w:t>«</w:t>
      </w:r>
      <w:r w:rsidRPr="00ED5100">
        <w:rPr>
          <w:rFonts w:asciiTheme="majorHAnsi" w:hAnsiTheme="majorHAnsi" w:cs="Times New Roman"/>
        </w:rPr>
        <w:t xml:space="preserve">«procedure negoziate», le procedure di affidamento in cui le stazioni appaltanti consultano gli operatori economici da loro scelti e negoziano con uno o più di essi le condizioni dell’appalto» </w:t>
      </w:r>
      <w:r w:rsidRPr="00ED5100">
        <w:rPr>
          <w:rFonts w:asciiTheme="majorHAnsi" w:hAnsiTheme="majorHAnsi"/>
          <w:bCs/>
        </w:rPr>
        <w:t>(</w:t>
      </w:r>
      <w:proofErr w:type="spellStart"/>
      <w:r w:rsidRPr="00ED5100">
        <w:rPr>
          <w:rFonts w:asciiTheme="majorHAnsi" w:hAnsiTheme="majorHAnsi"/>
          <w:bCs/>
        </w:rPr>
        <w:t>D.Lgs.</w:t>
      </w:r>
      <w:proofErr w:type="spellEnd"/>
      <w:r w:rsidRPr="00ED5100">
        <w:rPr>
          <w:rFonts w:asciiTheme="majorHAnsi" w:hAnsiTheme="majorHAnsi"/>
          <w:bCs/>
        </w:rPr>
        <w:t xml:space="preserve"> 50/2016, art. 3, comma 1, lett. </w:t>
      </w:r>
      <w:proofErr w:type="spellStart"/>
      <w:r w:rsidRPr="00ED5100">
        <w:rPr>
          <w:rFonts w:asciiTheme="majorHAnsi" w:hAnsiTheme="majorHAnsi"/>
          <w:bCs/>
          <w:i/>
        </w:rPr>
        <w:t>uuu</w:t>
      </w:r>
      <w:proofErr w:type="spellEnd"/>
      <w:r w:rsidRPr="00ED5100">
        <w:rPr>
          <w:rFonts w:asciiTheme="majorHAnsi" w:hAnsiTheme="majorHAnsi"/>
          <w:bCs/>
          <w:i/>
        </w:rPr>
        <w:t>)</w:t>
      </w:r>
      <w:r w:rsidRPr="00ED5100">
        <w:rPr>
          <w:rFonts w:asciiTheme="majorHAnsi" w:hAnsiTheme="majorHAnsi"/>
          <w:bCs/>
        </w:rPr>
        <w:t>);</w:t>
      </w:r>
    </w:p>
    <w:p w:rsidR="00D823F7" w:rsidRPr="00ED5100" w:rsidRDefault="00D823F7" w:rsidP="003116B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ED5100">
        <w:rPr>
          <w:rFonts w:asciiTheme="majorHAnsi" w:hAnsiTheme="majorHAnsi" w:cs="Times New Roman"/>
        </w:rPr>
        <w:t>pur affermando il codice che l’</w:t>
      </w:r>
      <w:r w:rsidRPr="00ED5100">
        <w:rPr>
          <w:rFonts w:asciiTheme="majorHAnsi" w:hAnsiTheme="majorHAnsi"/>
          <w:bCs/>
        </w:rPr>
        <w:t>«</w:t>
      </w:r>
      <w:proofErr w:type="spellStart"/>
      <w:r w:rsidRPr="00ED5100">
        <w:rPr>
          <w:rFonts w:asciiTheme="majorHAnsi" w:hAnsiTheme="majorHAnsi"/>
          <w:bCs/>
        </w:rPr>
        <w:t>affidamentodi</w:t>
      </w:r>
      <w:proofErr w:type="spellEnd"/>
      <w:r w:rsidRPr="00ED5100">
        <w:rPr>
          <w:rFonts w:asciiTheme="majorHAnsi" w:hAnsiTheme="majorHAnsi"/>
          <w:bCs/>
        </w:rPr>
        <w:t xml:space="preserve"> lavori, servizi e forniture di importo inferiore alle soglie di cui all’articolo 35 avvengono nel rispetto dei principi di cui all’art. 30, comma 1», cioè dei principi fondamentali del Trattato (</w:t>
      </w:r>
      <w:proofErr w:type="spellStart"/>
      <w:r w:rsidRPr="00ED5100">
        <w:rPr>
          <w:rFonts w:asciiTheme="majorHAnsi" w:hAnsiTheme="majorHAnsi"/>
          <w:bCs/>
        </w:rPr>
        <w:t>D.Lgs.</w:t>
      </w:r>
      <w:proofErr w:type="spellEnd"/>
      <w:r w:rsidRPr="00ED5100">
        <w:rPr>
          <w:rFonts w:asciiTheme="majorHAnsi" w:hAnsiTheme="majorHAnsi"/>
          <w:bCs/>
        </w:rPr>
        <w:t xml:space="preserve"> 50/2016, art. 36, comma 1), </w:t>
      </w:r>
      <w:r w:rsidRPr="00ED5100">
        <w:rPr>
          <w:rFonts w:asciiTheme="majorHAnsi" w:hAnsiTheme="majorHAnsi" w:cs="Times New Roman"/>
        </w:rPr>
        <w:t xml:space="preserve">la scelta del contraente non è però qui da assoggettarsi all’aggravamento procedurale </w:t>
      </w:r>
      <w:proofErr w:type="gramStart"/>
      <w:r w:rsidRPr="00ED5100">
        <w:rPr>
          <w:rFonts w:asciiTheme="majorHAnsi" w:hAnsiTheme="majorHAnsi" w:cs="Times New Roman"/>
          <w:i/>
        </w:rPr>
        <w:t>pro concorrenziale</w:t>
      </w:r>
      <w:proofErr w:type="gramEnd"/>
      <w:r w:rsidRPr="00ED5100">
        <w:rPr>
          <w:rFonts w:asciiTheme="majorHAnsi" w:hAnsiTheme="majorHAnsi" w:cs="Times New Roman"/>
        </w:rPr>
        <w:t xml:space="preserve"> previsto invece dalla lett. </w:t>
      </w:r>
      <w:r w:rsidRPr="00ED5100">
        <w:rPr>
          <w:rFonts w:asciiTheme="majorHAnsi" w:hAnsiTheme="majorHAnsi" w:cs="Times New Roman"/>
          <w:i/>
        </w:rPr>
        <w:t xml:space="preserve">b) </w:t>
      </w:r>
      <w:r w:rsidRPr="00ED5100">
        <w:rPr>
          <w:rFonts w:asciiTheme="majorHAnsi" w:hAnsiTheme="majorHAnsi" w:cs="Times New Roman"/>
        </w:rPr>
        <w:t xml:space="preserve">del comma 2 del medesimo art. 36 del </w:t>
      </w:r>
      <w:proofErr w:type="spellStart"/>
      <w:r w:rsidRPr="00ED5100">
        <w:rPr>
          <w:rFonts w:asciiTheme="majorHAnsi" w:hAnsiTheme="majorHAnsi" w:cs="Times New Roman"/>
        </w:rPr>
        <w:t>D.Lgs.</w:t>
      </w:r>
      <w:proofErr w:type="spellEnd"/>
      <w:r w:rsidRPr="00ED5100">
        <w:rPr>
          <w:rFonts w:asciiTheme="majorHAnsi" w:hAnsiTheme="majorHAnsi" w:cs="Times New Roman"/>
        </w:rPr>
        <w:t xml:space="preserve"> 50/2016 </w:t>
      </w:r>
      <w:r w:rsidRPr="00ED5100">
        <w:rPr>
          <w:rFonts w:asciiTheme="majorHAnsi" w:hAnsiTheme="majorHAnsi"/>
          <w:bCs/>
        </w:rPr>
        <w:t xml:space="preserve">e tutto ciò in quanto l’«affidamento diretto» costituisce proprio l’eccezione oggettiva rispetto alla suddetta regola </w:t>
      </w:r>
      <w:proofErr w:type="gramStart"/>
      <w:r w:rsidRPr="00ED5100">
        <w:rPr>
          <w:rFonts w:asciiTheme="majorHAnsi" w:hAnsiTheme="majorHAnsi"/>
          <w:bCs/>
          <w:i/>
        </w:rPr>
        <w:t>pro concorrenziale</w:t>
      </w:r>
      <w:proofErr w:type="gramEnd"/>
      <w:r w:rsidRPr="00ED5100">
        <w:rPr>
          <w:rFonts w:asciiTheme="majorHAnsi" w:hAnsiTheme="majorHAnsi"/>
          <w:bCs/>
        </w:rPr>
        <w:t>;</w:t>
      </w:r>
    </w:p>
    <w:p w:rsidR="00D823F7" w:rsidRPr="00ED5100" w:rsidRDefault="00D823F7" w:rsidP="003116BB">
      <w:pPr>
        <w:jc w:val="both"/>
        <w:rPr>
          <w:rFonts w:asciiTheme="majorHAnsi" w:hAnsiTheme="majorHAnsi"/>
          <w:bCs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  <w:b/>
        </w:rPr>
        <w:t>ATTESO</w:t>
      </w:r>
      <w:r w:rsidRPr="00ED5100">
        <w:rPr>
          <w:rFonts w:asciiTheme="majorHAnsi" w:hAnsiTheme="majorHAnsi" w:cs="Times New Roman"/>
        </w:rPr>
        <w:t xml:space="preserve"> che l’individuazione degli operatori economici avviene secondo uno di due criteri motivazionali di fondo</w:t>
      </w:r>
      <w:r>
        <w:rPr>
          <w:rFonts w:asciiTheme="majorHAnsi" w:hAnsiTheme="majorHAnsi" w:cs="Times New Roman"/>
        </w:rPr>
        <w:t>,</w:t>
      </w:r>
      <w:r w:rsidRPr="00ED5100">
        <w:rPr>
          <w:rFonts w:asciiTheme="majorHAnsi" w:hAnsiTheme="majorHAnsi" w:cs="Times New Roman"/>
        </w:rPr>
        <w:t xml:space="preserve"> anche in possibile combinazione fra di loro, e cioè:</w:t>
      </w:r>
    </w:p>
    <w:p w:rsidR="00D823F7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Default="00D823F7" w:rsidP="003116BB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4B66A6">
        <w:rPr>
          <w:rFonts w:asciiTheme="majorHAnsi" w:hAnsiTheme="majorHAnsi" w:cs="Times New Roman"/>
        </w:rPr>
        <w:t xml:space="preserve">in base al canone della “passata esperienza”, per aver precedentemente l’operatore economico proceduto correttamente alla fornitura del bene/alla prestazione del servizio/all’esecuzione di lavori; </w:t>
      </w:r>
    </w:p>
    <w:p w:rsidR="00D823F7" w:rsidRPr="00ED5100" w:rsidRDefault="00D823F7" w:rsidP="003116BB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  <w:bCs/>
        </w:rPr>
        <w:t xml:space="preserve">«nel rispetto del principio di rotazione» generica </w:t>
      </w:r>
      <w:r w:rsidRPr="00ED5100">
        <w:rPr>
          <w:rFonts w:asciiTheme="majorHAnsi" w:hAnsiTheme="majorHAnsi" w:cs="Times New Roman"/>
        </w:rPr>
        <w:t>(</w:t>
      </w:r>
      <w:proofErr w:type="spellStart"/>
      <w:r w:rsidRPr="00ED5100">
        <w:rPr>
          <w:rFonts w:asciiTheme="majorHAnsi" w:hAnsiTheme="majorHAnsi" w:cs="Times New Roman"/>
        </w:rPr>
        <w:t>D.Lgs.</w:t>
      </w:r>
      <w:proofErr w:type="spellEnd"/>
      <w:r w:rsidRPr="00ED5100">
        <w:rPr>
          <w:rFonts w:asciiTheme="majorHAnsi" w:hAnsiTheme="majorHAnsi" w:cs="Times New Roman"/>
        </w:rPr>
        <w:t xml:space="preserve"> 50/2016, art. 50, comma 1), per cui nel corso di un anno– in linea anche con i principi dell’anticorruzione – vengono contattati operatori economici che non siano sempre gli stessi, peraltro </w:t>
      </w:r>
      <w:r w:rsidRPr="00ED5100">
        <w:rPr>
          <w:rFonts w:asciiTheme="majorHAnsi" w:hAnsiTheme="majorHAnsi" w:cs="Times New Roman"/>
          <w:bCs/>
        </w:rPr>
        <w:t xml:space="preserve">«ove esistenti» (in quanto, già ai sensi dell’art. 50, comma 2, lett. </w:t>
      </w:r>
      <w:r w:rsidRPr="00ED5100">
        <w:rPr>
          <w:rFonts w:asciiTheme="majorHAnsi" w:hAnsiTheme="majorHAnsi" w:cs="Times New Roman"/>
          <w:bCs/>
          <w:i/>
        </w:rPr>
        <w:t>b)</w:t>
      </w:r>
      <w:r w:rsidRPr="00ED5100">
        <w:rPr>
          <w:rFonts w:asciiTheme="majorHAnsi" w:hAnsiTheme="majorHAnsi" w:cs="Times New Roman"/>
          <w:bCs/>
        </w:rPr>
        <w:t>, possono anche darsi casi di difficile reperibilità degli operatori economici stessi);</w:t>
      </w:r>
    </w:p>
    <w:p w:rsidR="00D823F7" w:rsidRPr="00ED5100" w:rsidRDefault="00D823F7" w:rsidP="003116BB">
      <w:pPr>
        <w:jc w:val="both"/>
        <w:rPr>
          <w:rFonts w:asciiTheme="majorHAnsi" w:hAnsiTheme="majorHAnsi"/>
          <w:b/>
          <w:highlight w:val="lightGray"/>
        </w:rPr>
      </w:pPr>
    </w:p>
    <w:p w:rsidR="00D823F7" w:rsidRDefault="00D823F7" w:rsidP="003116BB">
      <w:pPr>
        <w:jc w:val="both"/>
        <w:rPr>
          <w:rFonts w:asciiTheme="majorHAnsi" w:hAnsiTheme="majorHAnsi" w:cs="Times New Roman"/>
        </w:rPr>
      </w:pPr>
      <w:r w:rsidRPr="00C3571E">
        <w:rPr>
          <w:rFonts w:asciiTheme="majorHAnsi" w:hAnsiTheme="majorHAnsi" w:cs="Times New Roman"/>
          <w:b/>
        </w:rPr>
        <w:t>CONSIDERATO</w:t>
      </w:r>
      <w:r>
        <w:rPr>
          <w:rFonts w:asciiTheme="majorHAnsi" w:hAnsiTheme="majorHAnsi" w:cs="Times New Roman"/>
        </w:rPr>
        <w:t xml:space="preserve"> altresì che </w:t>
      </w:r>
    </w:p>
    <w:p w:rsidR="00D823F7" w:rsidRDefault="00D823F7" w:rsidP="003116BB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="Times New Roman"/>
        </w:rPr>
      </w:pPr>
      <w:proofErr w:type="spellStart"/>
      <w:r w:rsidRPr="00C3571E">
        <w:rPr>
          <w:rFonts w:asciiTheme="majorHAnsi" w:hAnsiTheme="majorHAnsi" w:cs="Times New Roman"/>
        </w:rPr>
        <w:t>Venis</w:t>
      </w:r>
      <w:proofErr w:type="spellEnd"/>
      <w:r w:rsidRPr="00C3571E">
        <w:rPr>
          <w:rFonts w:asciiTheme="majorHAnsi" w:hAnsiTheme="majorHAnsi" w:cs="Times New Roman"/>
        </w:rPr>
        <w:t xml:space="preserve"> SpA è società strumentale del Comune di Venezia, collegata da un rapporto in house con A.M.E.S. S.p.A. sia di tipo verticale che orizzontale;</w:t>
      </w:r>
    </w:p>
    <w:p w:rsidR="00D823F7" w:rsidRDefault="00D823F7" w:rsidP="003116BB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Che il Comune di Venezia ha commissionato la realizzazione del software “whistleblowing” concedendone il riuso alle proprie società partecipate;</w:t>
      </w:r>
    </w:p>
    <w:p w:rsidR="00D823F7" w:rsidRDefault="00D823F7" w:rsidP="003116BB">
      <w:pPr>
        <w:pStyle w:val="Paragrafoelenco"/>
        <w:jc w:val="both"/>
        <w:rPr>
          <w:rFonts w:asciiTheme="majorHAnsi" w:hAnsiTheme="majorHAnsi" w:cs="Times New Roman"/>
        </w:rPr>
      </w:pPr>
    </w:p>
    <w:p w:rsidR="00D823F7" w:rsidRDefault="00D823F7" w:rsidP="003116BB">
      <w:pPr>
        <w:jc w:val="both"/>
        <w:rPr>
          <w:rFonts w:asciiTheme="majorHAnsi" w:hAnsiTheme="majorHAnsi" w:cs="Times New Roman"/>
        </w:rPr>
      </w:pPr>
      <w:r w:rsidRPr="00C3571E">
        <w:rPr>
          <w:rFonts w:asciiTheme="majorHAnsi" w:hAnsiTheme="majorHAnsi" w:cs="Times New Roman"/>
          <w:b/>
        </w:rPr>
        <w:t>ATTESO</w:t>
      </w:r>
      <w:r w:rsidRPr="00C3571E">
        <w:rPr>
          <w:rFonts w:asciiTheme="majorHAnsi" w:hAnsiTheme="majorHAnsi" w:cs="Times New Roman"/>
        </w:rPr>
        <w:t xml:space="preserve"> che con propria nota </w:t>
      </w:r>
      <w:proofErr w:type="spellStart"/>
      <w:r w:rsidRPr="00C3571E">
        <w:rPr>
          <w:rFonts w:asciiTheme="majorHAnsi" w:hAnsiTheme="majorHAnsi" w:cs="Times New Roman"/>
        </w:rPr>
        <w:t>Venis</w:t>
      </w:r>
      <w:proofErr w:type="spellEnd"/>
      <w:r w:rsidRPr="00C3571E">
        <w:rPr>
          <w:rFonts w:asciiTheme="majorHAnsi" w:hAnsiTheme="majorHAnsi" w:cs="Times New Roman"/>
        </w:rPr>
        <w:t xml:space="preserve"> SpA ha trasmesso la propria offerta per la prosecuzione del servizio SaaS, </w:t>
      </w:r>
      <w:r>
        <w:rPr>
          <w:rFonts w:asciiTheme="majorHAnsi" w:hAnsiTheme="majorHAnsi" w:cs="Times New Roman"/>
        </w:rPr>
        <w:t xml:space="preserve">per </w:t>
      </w:r>
      <w:proofErr w:type="gramStart"/>
      <w:r w:rsidR="003116BB">
        <w:rPr>
          <w:rFonts w:asciiTheme="majorHAnsi" w:hAnsiTheme="majorHAnsi" w:cs="Times New Roman"/>
        </w:rPr>
        <w:t>l’</w:t>
      </w:r>
      <w:r>
        <w:rPr>
          <w:rFonts w:asciiTheme="majorHAnsi" w:hAnsiTheme="majorHAnsi" w:cs="Times New Roman"/>
        </w:rPr>
        <w:t xml:space="preserve"> anno</w:t>
      </w:r>
      <w:proofErr w:type="gramEnd"/>
      <w:r w:rsidR="003116BB">
        <w:rPr>
          <w:rFonts w:asciiTheme="majorHAnsi" w:hAnsiTheme="majorHAnsi" w:cs="Times New Roman"/>
        </w:rPr>
        <w:t xml:space="preserve"> 20</w:t>
      </w:r>
      <w:r w:rsidR="00387DC3">
        <w:rPr>
          <w:rFonts w:asciiTheme="majorHAnsi" w:hAnsiTheme="majorHAnsi" w:cs="Times New Roman"/>
        </w:rPr>
        <w:t>21</w:t>
      </w:r>
      <w:r>
        <w:rPr>
          <w:rFonts w:asciiTheme="majorHAnsi" w:hAnsiTheme="majorHAnsi" w:cs="Times New Roman"/>
        </w:rPr>
        <w:t xml:space="preserve"> alle medesime condizioni originariamente proposte, per un prezzo complessivo pari ad € 1.500 iva esclusa;</w:t>
      </w:r>
      <w:bookmarkStart w:id="0" w:name="_GoBack"/>
      <w:bookmarkEnd w:id="0"/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  <w:bCs/>
        </w:rPr>
      </w:pPr>
      <w:r w:rsidRPr="00ED5100">
        <w:rPr>
          <w:rFonts w:asciiTheme="majorHAnsi" w:hAnsiTheme="majorHAnsi" w:cs="Times New Roman"/>
          <w:b/>
          <w:bCs/>
        </w:rPr>
        <w:lastRenderedPageBreak/>
        <w:t>ATTESO</w:t>
      </w:r>
      <w:r w:rsidRPr="00ED5100">
        <w:rPr>
          <w:rFonts w:asciiTheme="majorHAnsi" w:hAnsiTheme="majorHAnsi" w:cs="Times New Roman"/>
          <w:bCs/>
        </w:rPr>
        <w:t xml:space="preserve"> che, rientrandosi negli </w:t>
      </w:r>
      <w:r w:rsidRPr="00ED5100">
        <w:rPr>
          <w:rFonts w:asciiTheme="majorHAnsi" w:hAnsiTheme="majorHAnsi"/>
          <w:bCs/>
        </w:rPr>
        <w:t>«</w:t>
      </w:r>
      <w:r w:rsidRPr="00ED5100">
        <w:rPr>
          <w:rFonts w:asciiTheme="majorHAnsi" w:hAnsiTheme="majorHAnsi" w:cs="Times New Roman"/>
          <w:bCs/>
        </w:rPr>
        <w:t>affidamenti di importo non superiore a 40.000 euro</w:t>
      </w:r>
      <w:r w:rsidRPr="00ED5100">
        <w:rPr>
          <w:rFonts w:asciiTheme="majorHAnsi" w:hAnsiTheme="majorHAnsi"/>
          <w:bCs/>
        </w:rPr>
        <w:t xml:space="preserve">», </w:t>
      </w:r>
      <w:r w:rsidRPr="00ED5100">
        <w:rPr>
          <w:rFonts w:asciiTheme="majorHAnsi" w:hAnsiTheme="majorHAnsi" w:cs="Times New Roman"/>
          <w:bCs/>
        </w:rPr>
        <w:t xml:space="preserve">è applicabile la stipulazione semplificata </w:t>
      </w:r>
      <w:r w:rsidRPr="00ED5100">
        <w:rPr>
          <w:rFonts w:asciiTheme="majorHAnsi" w:hAnsiTheme="majorHAnsi"/>
          <w:bCs/>
        </w:rPr>
        <w:t>«</w:t>
      </w:r>
      <w:r w:rsidRPr="00ED5100">
        <w:rPr>
          <w:rFonts w:asciiTheme="majorHAnsi" w:hAnsiTheme="majorHAnsi" w:cs="Times New Roman"/>
          <w:bCs/>
        </w:rPr>
        <w:t>mediante corrispondenza secondo l’uso del commercio consistente in un apposito scambio di lettere</w:t>
      </w:r>
      <w:r w:rsidRPr="00ED5100">
        <w:rPr>
          <w:rFonts w:asciiTheme="majorHAnsi" w:hAnsiTheme="majorHAnsi"/>
          <w:bCs/>
        </w:rPr>
        <w:t>»</w:t>
      </w:r>
      <w:r w:rsidRPr="00ED5100">
        <w:rPr>
          <w:rFonts w:asciiTheme="majorHAnsi" w:hAnsiTheme="majorHAnsi" w:cs="Times New Roman"/>
          <w:bCs/>
        </w:rPr>
        <w:t xml:space="preserve"> (</w:t>
      </w:r>
      <w:proofErr w:type="spellStart"/>
      <w:r w:rsidRPr="00ED5100">
        <w:rPr>
          <w:rFonts w:asciiTheme="majorHAnsi" w:hAnsiTheme="majorHAnsi" w:cs="Times New Roman"/>
          <w:bCs/>
        </w:rPr>
        <w:t>D.Lgs.</w:t>
      </w:r>
      <w:proofErr w:type="spellEnd"/>
      <w:r w:rsidRPr="00ED5100">
        <w:rPr>
          <w:rFonts w:asciiTheme="majorHAnsi" w:hAnsiTheme="majorHAnsi" w:cs="Times New Roman"/>
          <w:bCs/>
        </w:rPr>
        <w:t xml:space="preserve"> 50/2016, art. 32, comma 14);</w:t>
      </w:r>
    </w:p>
    <w:p w:rsidR="00D823F7" w:rsidRDefault="00D823F7" w:rsidP="003116BB">
      <w:pPr>
        <w:jc w:val="both"/>
        <w:rPr>
          <w:rFonts w:asciiTheme="majorHAnsi" w:hAnsiTheme="majorHAnsi" w:cs="Times New Roman"/>
          <w:b/>
          <w:bCs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  <w:bCs/>
        </w:rPr>
      </w:pPr>
      <w:r w:rsidRPr="00ED5100">
        <w:rPr>
          <w:rFonts w:asciiTheme="majorHAnsi" w:hAnsiTheme="majorHAnsi" w:cs="Times New Roman"/>
          <w:b/>
          <w:bCs/>
        </w:rPr>
        <w:t>EVIDENZIATO</w:t>
      </w:r>
      <w:r w:rsidRPr="00ED5100">
        <w:rPr>
          <w:rFonts w:asciiTheme="majorHAnsi" w:hAnsiTheme="majorHAnsi" w:cs="Times New Roman"/>
          <w:bCs/>
        </w:rPr>
        <w:t xml:space="preserve"> pertanto che questa Società ha garantito </w:t>
      </w:r>
      <w:r w:rsidRPr="00ED5100">
        <w:rPr>
          <w:rFonts w:asciiTheme="majorHAnsi" w:eastAsia="Times New Roman" w:hAnsiTheme="majorHAnsi" w:cs="Times New Roman"/>
          <w:bCs/>
          <w:iCs/>
          <w:color w:val="000000"/>
          <w:lang w:eastAsia="it-IT"/>
        </w:rPr>
        <w:t>«</w:t>
      </w:r>
      <w:r w:rsidRPr="00ED5100">
        <w:rPr>
          <w:rFonts w:asciiTheme="majorHAnsi" w:hAnsiTheme="majorHAnsi" w:cs="Times New Roman"/>
          <w:bCs/>
        </w:rPr>
        <w:t>in aderenza: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Cs/>
        </w:rPr>
      </w:pPr>
      <w:r w:rsidRPr="00ED5100">
        <w:rPr>
          <w:rFonts w:asciiTheme="majorHAnsi" w:hAnsiTheme="majorHAnsi" w:cs="Times New Roman"/>
          <w:bCs/>
          <w:i/>
        </w:rPr>
        <w:t>a)</w:t>
      </w:r>
      <w:r w:rsidRPr="00ED5100">
        <w:rPr>
          <w:rFonts w:asciiTheme="majorHAnsi" w:hAnsiTheme="majorHAnsi" w:cs="Times New Roman"/>
          <w:bCs/>
        </w:rPr>
        <w:t xml:space="preserve"> al principio di economicità, l’uso ottimale delle risorse da impiegare nello svolgimento della selezione ovvero nell’esecuzione del contratto;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Cs/>
        </w:rPr>
      </w:pPr>
      <w:r w:rsidRPr="00ED5100">
        <w:rPr>
          <w:rFonts w:asciiTheme="majorHAnsi" w:hAnsiTheme="majorHAnsi" w:cs="Times New Roman"/>
          <w:bCs/>
          <w:i/>
        </w:rPr>
        <w:t>b)</w:t>
      </w:r>
      <w:r w:rsidRPr="00ED5100">
        <w:rPr>
          <w:rFonts w:asciiTheme="majorHAnsi" w:hAnsiTheme="majorHAnsi" w:cs="Times New Roman"/>
          <w:bCs/>
        </w:rPr>
        <w:t xml:space="preserve"> al principio di efficacia, la congruità dei propri atti rispetto al conseguimento dello scopo e dell’interesse pubblico cui sono preordinati;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Cs/>
        </w:rPr>
      </w:pPr>
      <w:r w:rsidRPr="00ED5100">
        <w:rPr>
          <w:rFonts w:asciiTheme="majorHAnsi" w:hAnsiTheme="majorHAnsi" w:cs="Times New Roman"/>
          <w:bCs/>
          <w:i/>
        </w:rPr>
        <w:t>c)</w:t>
      </w:r>
      <w:r w:rsidRPr="00ED5100">
        <w:rPr>
          <w:rFonts w:asciiTheme="majorHAnsi" w:hAnsiTheme="majorHAnsi" w:cs="Times New Roman"/>
          <w:bCs/>
        </w:rPr>
        <w:t xml:space="preserve"> al principio di tempestività, l’esigenza di non dilatare la durata del procedimento di selezione del contraente in assenza di obiettive ragioni;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Cs/>
        </w:rPr>
      </w:pPr>
      <w:r w:rsidRPr="00ED5100">
        <w:rPr>
          <w:rFonts w:asciiTheme="majorHAnsi" w:hAnsiTheme="majorHAnsi" w:cs="Times New Roman"/>
          <w:bCs/>
          <w:i/>
        </w:rPr>
        <w:t>d)</w:t>
      </w:r>
      <w:r w:rsidRPr="00ED5100">
        <w:rPr>
          <w:rFonts w:asciiTheme="majorHAnsi" w:hAnsiTheme="majorHAnsi" w:cs="Times New Roman"/>
          <w:bCs/>
        </w:rPr>
        <w:t xml:space="preserve"> al principio di correttezza, una condotta leale ed improntata a buona fede, nella fase di affidamento;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Cs/>
        </w:rPr>
      </w:pPr>
      <w:r w:rsidRPr="00ED5100">
        <w:rPr>
          <w:rFonts w:asciiTheme="majorHAnsi" w:hAnsiTheme="majorHAnsi" w:cs="Times New Roman"/>
          <w:bCs/>
          <w:i/>
        </w:rPr>
        <w:t>e)</w:t>
      </w:r>
      <w:r w:rsidRPr="00ED5100">
        <w:rPr>
          <w:rFonts w:asciiTheme="majorHAnsi" w:hAnsiTheme="majorHAnsi" w:cs="Times New Roman"/>
          <w:bCs/>
        </w:rPr>
        <w:t xml:space="preserve"> al principio di proporzionalità, l’adeguatezza e idoneità dell’azione rispetto alle finalità e all’importo dell’affidamento;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  <w:b/>
        </w:rPr>
      </w:pPr>
      <w:r w:rsidRPr="00ED5100">
        <w:rPr>
          <w:rFonts w:asciiTheme="majorHAnsi" w:hAnsiTheme="majorHAnsi" w:cs="Times New Roman"/>
          <w:b/>
        </w:rPr>
        <w:t>DETERMINA DI PROPORRE</w:t>
      </w:r>
    </w:p>
    <w:p w:rsidR="00D823F7" w:rsidRPr="00ED5100" w:rsidRDefault="00314C4E" w:rsidP="003116BB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AL DIRETTORE GENERALE DI AMES </w:t>
      </w:r>
      <w:proofErr w:type="gramStart"/>
      <w:r>
        <w:rPr>
          <w:rFonts w:asciiTheme="majorHAnsi" w:hAnsiTheme="majorHAnsi" w:cs="Times New Roman"/>
          <w:b/>
        </w:rPr>
        <w:t xml:space="preserve">SPA </w:t>
      </w:r>
      <w:r w:rsidR="00D823F7" w:rsidRPr="00ED5100">
        <w:rPr>
          <w:rFonts w:asciiTheme="majorHAnsi" w:hAnsiTheme="majorHAnsi" w:cs="Times New Roman"/>
          <w:b/>
        </w:rPr>
        <w:t xml:space="preserve"> TITOLARE</w:t>
      </w:r>
      <w:proofErr w:type="gramEnd"/>
      <w:r w:rsidR="00D823F7" w:rsidRPr="00ED5100">
        <w:rPr>
          <w:rFonts w:asciiTheme="majorHAnsi" w:hAnsiTheme="majorHAnsi" w:cs="Times New Roman"/>
          <w:b/>
        </w:rPr>
        <w:t xml:space="preserve"> DEL POTERE DECISIONALE E DI SPESA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/>
        </w:rPr>
      </w:pPr>
    </w:p>
    <w:p w:rsidR="00D823F7" w:rsidRPr="00ED5100" w:rsidRDefault="00D823F7" w:rsidP="003116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>Le premesse costituiscono parte integrante della presente proposta;</w:t>
      </w:r>
    </w:p>
    <w:p w:rsidR="00D823F7" w:rsidRPr="00751D05" w:rsidRDefault="00D823F7" w:rsidP="003116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 xml:space="preserve">Di affidare le prestazioni di cui si tratta a </w:t>
      </w:r>
      <w:proofErr w:type="spellStart"/>
      <w:r>
        <w:rPr>
          <w:rFonts w:asciiTheme="majorHAnsi" w:hAnsiTheme="majorHAnsi" w:cs="Times New Roman"/>
        </w:rPr>
        <w:t>Venis</w:t>
      </w:r>
      <w:proofErr w:type="spellEnd"/>
      <w:r>
        <w:rPr>
          <w:rFonts w:asciiTheme="majorHAnsi" w:hAnsiTheme="majorHAnsi" w:cs="Times New Roman"/>
        </w:rPr>
        <w:t xml:space="preserve"> SpA</w:t>
      </w:r>
      <w:r w:rsidR="00387DC3">
        <w:rPr>
          <w:rFonts w:asciiTheme="majorHAnsi" w:hAnsiTheme="majorHAnsi" w:cs="Times New Roman"/>
        </w:rPr>
        <w:t xml:space="preserve"> </w:t>
      </w:r>
      <w:r w:rsidRPr="00ED5100">
        <w:rPr>
          <w:rFonts w:ascii="Times New Roman" w:eastAsia="Calibri" w:hAnsi="Times New Roman" w:cs="Times New Roman"/>
          <w:bCs/>
          <w:color w:val="000000"/>
        </w:rPr>
        <w:t xml:space="preserve">con sede in </w:t>
      </w:r>
      <w:r>
        <w:rPr>
          <w:rFonts w:ascii="Times New Roman" w:eastAsia="Calibri" w:hAnsi="Times New Roman" w:cs="Times New Roman"/>
          <w:bCs/>
          <w:color w:val="000000"/>
        </w:rPr>
        <w:t>San Marco, Palazzo Ziani 4934</w:t>
      </w:r>
      <w:r w:rsidRPr="00ED5100">
        <w:rPr>
          <w:rFonts w:ascii="Times New Roman" w:eastAsia="Calibri" w:hAnsi="Times New Roman" w:cs="Times New Roman"/>
          <w:bCs/>
          <w:color w:val="000000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</w:rPr>
        <w:t>30124</w:t>
      </w:r>
      <w:r w:rsidRPr="00ED5100">
        <w:rPr>
          <w:rFonts w:ascii="Times New Roman" w:eastAsia="Calibri" w:hAnsi="Times New Roman" w:cs="Times New Roman"/>
          <w:bCs/>
          <w:color w:val="000000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</w:rPr>
        <w:t>Venezia</w:t>
      </w:r>
      <w:r w:rsidRPr="00ED5100">
        <w:rPr>
          <w:rFonts w:ascii="Times New Roman" w:eastAsia="Calibri" w:hAnsi="Times New Roman" w:cs="Times New Roman"/>
          <w:bCs/>
          <w:color w:val="000000"/>
        </w:rPr>
        <w:t xml:space="preserve"> (</w:t>
      </w:r>
      <w:r>
        <w:rPr>
          <w:rFonts w:ascii="Times New Roman" w:eastAsia="Calibri" w:hAnsi="Times New Roman" w:cs="Times New Roman"/>
          <w:bCs/>
          <w:color w:val="000000"/>
        </w:rPr>
        <w:t>VE</w:t>
      </w:r>
      <w:r w:rsidRPr="00ED5100">
        <w:rPr>
          <w:rFonts w:ascii="Times New Roman" w:eastAsia="Calibri" w:hAnsi="Times New Roman" w:cs="Times New Roman"/>
          <w:bCs/>
          <w:color w:val="000000"/>
        </w:rPr>
        <w:t>)</w:t>
      </w:r>
      <w:r>
        <w:rPr>
          <w:rFonts w:ascii="Times New Roman" w:eastAsia="Calibri" w:hAnsi="Times New Roman" w:cs="Times New Roman"/>
          <w:bCs/>
          <w:color w:val="000000"/>
        </w:rPr>
        <w:t>,</w:t>
      </w:r>
      <w:r w:rsidRPr="00ED5100">
        <w:rPr>
          <w:rFonts w:ascii="Times New Roman" w:eastAsia="Calibri" w:hAnsi="Times New Roman" w:cs="Times New Roman"/>
          <w:bCs/>
          <w:color w:val="000000"/>
        </w:rPr>
        <w:t xml:space="preserve"> CF </w:t>
      </w:r>
      <w:r>
        <w:rPr>
          <w:rFonts w:ascii="Times New Roman" w:eastAsia="Calibri" w:hAnsi="Times New Roman" w:cs="Times New Roman"/>
          <w:bCs/>
          <w:color w:val="000000"/>
        </w:rPr>
        <w:t>02396850279</w:t>
      </w:r>
      <w:r w:rsidRPr="00ED5100">
        <w:rPr>
          <w:rFonts w:ascii="Times New Roman" w:eastAsia="Calibri" w:hAnsi="Times New Roman" w:cs="Times New Roman"/>
          <w:bCs/>
          <w:color w:val="000000"/>
        </w:rPr>
        <w:t xml:space="preserve">, come da offerta e preventivo per un costo onnicomprensivo di € </w:t>
      </w:r>
      <w:r>
        <w:rPr>
          <w:rFonts w:ascii="Times New Roman" w:eastAsia="Calibri" w:hAnsi="Times New Roman" w:cs="Times New Roman"/>
          <w:bCs/>
          <w:color w:val="000000"/>
        </w:rPr>
        <w:t>1.500,00</w:t>
      </w:r>
      <w:r w:rsidRPr="00ED5100">
        <w:rPr>
          <w:rFonts w:ascii="Times New Roman" w:eastAsia="Calibri" w:hAnsi="Times New Roman" w:cs="Times New Roman"/>
          <w:bCs/>
          <w:color w:val="000000"/>
        </w:rPr>
        <w:t xml:space="preserve"> oltre IVA;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  <w:t xml:space="preserve">      Il RUP</w:t>
      </w:r>
      <w:r w:rsidRPr="00ED5100">
        <w:rPr>
          <w:rFonts w:asciiTheme="majorHAnsi" w:hAnsiTheme="majorHAnsi" w:cs="Times New Roman"/>
        </w:rPr>
        <w:tab/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Pr="00ED5100">
        <w:rPr>
          <w:rFonts w:asciiTheme="majorHAnsi" w:hAnsiTheme="majorHAnsi" w:cs="Times New Roman"/>
        </w:rPr>
        <w:tab/>
      </w:r>
      <w:r w:rsidR="003116BB">
        <w:rPr>
          <w:rFonts w:asciiTheme="majorHAnsi" w:hAnsiTheme="majorHAnsi" w:cs="Times New Roman"/>
        </w:rPr>
        <w:t xml:space="preserve">                        </w:t>
      </w:r>
      <w:r w:rsidRPr="00ED5100">
        <w:rPr>
          <w:rFonts w:asciiTheme="majorHAnsi" w:hAnsiTheme="majorHAnsi" w:cs="Times New Roman"/>
        </w:rPr>
        <w:t>__________________________________________</w:t>
      </w:r>
    </w:p>
    <w:p w:rsidR="00D823F7" w:rsidRPr="00ED5100" w:rsidRDefault="00D823F7" w:rsidP="003116BB">
      <w:pPr>
        <w:pBdr>
          <w:bottom w:val="single" w:sz="12" w:space="1" w:color="auto"/>
        </w:pBd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357BC" w:rsidP="003116BB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La Direzione Generale</w:t>
      </w:r>
      <w:r w:rsidR="00D823F7" w:rsidRPr="00ED5100">
        <w:rPr>
          <w:rFonts w:asciiTheme="majorHAnsi" w:hAnsiTheme="majorHAnsi" w:cs="Times New Roman"/>
        </w:rPr>
        <w:t xml:space="preserve"> vista la proposta presentata dal RUP e le motivazioni addotte a sostegno della scelta dell’affidatario 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/>
        </w:rPr>
      </w:pPr>
    </w:p>
    <w:p w:rsidR="00D823F7" w:rsidRPr="00ED5100" w:rsidRDefault="00D823F7" w:rsidP="00D357BC">
      <w:pPr>
        <w:jc w:val="center"/>
        <w:rPr>
          <w:rFonts w:asciiTheme="majorHAnsi" w:hAnsiTheme="majorHAnsi" w:cs="Times New Roman"/>
          <w:b/>
        </w:rPr>
      </w:pPr>
      <w:r w:rsidRPr="00ED5100">
        <w:rPr>
          <w:rFonts w:asciiTheme="majorHAnsi" w:hAnsiTheme="majorHAnsi" w:cs="Times New Roman"/>
          <w:b/>
        </w:rPr>
        <w:t>APPROVA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  <w:b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  <w:r w:rsidRPr="00ED5100">
        <w:rPr>
          <w:rFonts w:asciiTheme="majorHAnsi" w:hAnsiTheme="majorHAnsi" w:cs="Times New Roman"/>
        </w:rPr>
        <w:t xml:space="preserve">La suddetta proposta e trasmette gli atti al RUP per la predisposizione </w:t>
      </w:r>
      <w:r>
        <w:rPr>
          <w:rFonts w:asciiTheme="majorHAnsi" w:hAnsiTheme="majorHAnsi" w:cs="Times New Roman"/>
        </w:rPr>
        <w:t xml:space="preserve">della lettera di accettazione 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Default="00D823F7" w:rsidP="003116BB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3116BB">
        <w:rPr>
          <w:rFonts w:asciiTheme="majorHAnsi" w:hAnsiTheme="majorHAnsi" w:cs="Times New Roman"/>
        </w:rPr>
        <w:t xml:space="preserve">            Il Direttore Generale</w:t>
      </w:r>
    </w:p>
    <w:p w:rsidR="003116BB" w:rsidRPr="00ED5100" w:rsidRDefault="003116BB" w:rsidP="003116BB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       Dott. Nicola Cattozzo</w:t>
      </w: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Pr="00ED5100" w:rsidRDefault="00D823F7" w:rsidP="003116BB">
      <w:pPr>
        <w:jc w:val="both"/>
        <w:rPr>
          <w:rFonts w:asciiTheme="majorHAnsi" w:hAnsiTheme="majorHAnsi" w:cs="Times New Roman"/>
        </w:rPr>
      </w:pPr>
    </w:p>
    <w:p w:rsidR="00D823F7" w:rsidRDefault="00D823F7" w:rsidP="003116BB">
      <w:pPr>
        <w:jc w:val="both"/>
      </w:pPr>
    </w:p>
    <w:p w:rsidR="00BB5E33" w:rsidRDefault="00BB5E33"/>
    <w:sectPr w:rsidR="00BB5E33" w:rsidSect="00614A07">
      <w:headerReference w:type="default" r:id="rId10"/>
      <w:footerReference w:type="default" r:id="rId11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20" w:rsidRDefault="005A4620">
      <w:r>
        <w:separator/>
      </w:r>
    </w:p>
  </w:endnote>
  <w:endnote w:type="continuationSeparator" w:id="0">
    <w:p w:rsidR="005A4620" w:rsidRDefault="005A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EF" w:rsidRDefault="00D823F7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284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EBF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" strokecolor="#c0504d" strokeweight="1pt">
              <v:shadow color="#622423 [1605]" offset="1pt"/>
            </v:shape>
          </w:pict>
        </mc:Fallback>
      </mc:AlternateContent>
    </w:r>
    <w:r w:rsidR="009428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 Fisc., PIVA e Reg. Imprese Venezia 02979860273</w:t>
                          </w:r>
                        </w:p>
                        <w:p w:rsidR="000A385F" w:rsidRDefault="005A46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 Fisc., PIVA e Reg. Imprese Venezia 02979860273</w:t>
                    </w:r>
                  </w:p>
                  <w:p w:rsidR="000A385F" w:rsidRDefault="006D639D"/>
                </w:txbxContent>
              </v:textbox>
            </v:shape>
          </w:pict>
        </mc:Fallback>
      </mc:AlternateContent>
    </w:r>
  </w:p>
  <w:p w:rsidR="000A385F" w:rsidRDefault="0094284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" o:allowincell="f" filled="f" stroked="f" strokeweight=".5pt">
              <v:textbox>
                <w:txbxContent>
                  <w:p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20" w:rsidRDefault="005A4620">
      <w:r>
        <w:separator/>
      </w:r>
    </w:p>
  </w:footnote>
  <w:footnote w:type="continuationSeparator" w:id="0">
    <w:p w:rsidR="005A4620" w:rsidRDefault="005A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E4" w:rsidRDefault="00D823F7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8079CD"/>
    <w:multiLevelType w:val="hybridMultilevel"/>
    <w:tmpl w:val="6C8C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F7"/>
    <w:rsid w:val="002631E7"/>
    <w:rsid w:val="00274205"/>
    <w:rsid w:val="002A138A"/>
    <w:rsid w:val="003116BB"/>
    <w:rsid w:val="00314C4E"/>
    <w:rsid w:val="00387DC3"/>
    <w:rsid w:val="005072D3"/>
    <w:rsid w:val="00546E0B"/>
    <w:rsid w:val="005A4620"/>
    <w:rsid w:val="005A7862"/>
    <w:rsid w:val="00643A4C"/>
    <w:rsid w:val="00657BF5"/>
    <w:rsid w:val="006D639D"/>
    <w:rsid w:val="00942842"/>
    <w:rsid w:val="00981D0E"/>
    <w:rsid w:val="00A67BF7"/>
    <w:rsid w:val="00BB5E33"/>
    <w:rsid w:val="00D357BC"/>
    <w:rsid w:val="00D823F7"/>
    <w:rsid w:val="00DB422F"/>
    <w:rsid w:val="00F0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B96DB"/>
  <w15:docId w15:val="{9474C858-AB33-484A-AEE3-10672CF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3F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3F7"/>
  </w:style>
  <w:style w:type="paragraph" w:styleId="Pidipagina">
    <w:name w:val="footer"/>
    <w:basedOn w:val="Normale"/>
    <w:link w:val="Pidipagina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3F7"/>
  </w:style>
  <w:style w:type="paragraph" w:styleId="Paragrafoelenco">
    <w:name w:val="List Paragraph"/>
    <w:basedOn w:val="Normale"/>
    <w:uiPriority w:val="34"/>
    <w:qFormat/>
    <w:rsid w:val="00D823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IT/TXT/PDF/?uri=CELEX:52006XC0801(01)&amp;from=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iustizia-amministrativa.it/cdsintra/cdsintra/AmministrazionePortale/DocumentViewer/index.html?ddocname=S3CZ5O67PLSTEERDA7C75WI45I&amp;q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zzettaufficiale.it/atto/serie_generale/caricaDettaglioAtto/originario?atto.dataPubblicazioneGazzetta=2016-11-23&amp;atto.codiceRedazionale=16A08182&amp;elenco30giorni=fa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4</cp:revision>
  <cp:lastPrinted>2020-12-15T08:52:00Z</cp:lastPrinted>
  <dcterms:created xsi:type="dcterms:W3CDTF">2020-12-14T15:33:00Z</dcterms:created>
  <dcterms:modified xsi:type="dcterms:W3CDTF">2020-12-15T08:52:00Z</dcterms:modified>
</cp:coreProperties>
</file>