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3F7" w:rsidRPr="00791D08" w:rsidRDefault="00D823F7" w:rsidP="00D823F7">
      <w:pPr>
        <w:rPr>
          <w:rFonts w:ascii="Garamond" w:hAnsi="Garamond" w:cs="Times New Roman"/>
          <w:sz w:val="25"/>
          <w:szCs w:val="25"/>
        </w:rPr>
      </w:pPr>
      <w:proofErr w:type="spellStart"/>
      <w:r w:rsidRPr="00791D08">
        <w:rPr>
          <w:rFonts w:ascii="Garamond" w:hAnsi="Garamond" w:cs="Times New Roman"/>
          <w:sz w:val="25"/>
          <w:szCs w:val="25"/>
        </w:rPr>
        <w:t>Pro</w:t>
      </w:r>
      <w:r w:rsidR="006C2CEC" w:rsidRPr="00791D08">
        <w:rPr>
          <w:rFonts w:ascii="Garamond" w:hAnsi="Garamond" w:cs="Times New Roman"/>
          <w:sz w:val="25"/>
          <w:szCs w:val="25"/>
        </w:rPr>
        <w:t>g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. n. </w:t>
      </w:r>
      <w:r w:rsidR="006C2CEC" w:rsidRPr="00791D08">
        <w:rPr>
          <w:rFonts w:ascii="Garamond" w:hAnsi="Garamond" w:cs="Times New Roman"/>
          <w:sz w:val="25"/>
          <w:szCs w:val="25"/>
        </w:rPr>
        <w:t>0</w:t>
      </w:r>
      <w:r w:rsidR="00791D08" w:rsidRPr="00791D08">
        <w:rPr>
          <w:rFonts w:ascii="Garamond" w:hAnsi="Garamond" w:cs="Times New Roman"/>
          <w:sz w:val="25"/>
          <w:szCs w:val="25"/>
        </w:rPr>
        <w:t>3</w:t>
      </w:r>
      <w:r w:rsidR="001926B4">
        <w:rPr>
          <w:rFonts w:ascii="Garamond" w:hAnsi="Garamond" w:cs="Times New Roman"/>
          <w:sz w:val="25"/>
          <w:szCs w:val="25"/>
        </w:rPr>
        <w:t>5</w:t>
      </w:r>
      <w:r w:rsidRPr="00791D08">
        <w:rPr>
          <w:rFonts w:ascii="Garamond" w:hAnsi="Garamond" w:cs="Times New Roman"/>
          <w:sz w:val="25"/>
          <w:szCs w:val="25"/>
        </w:rPr>
        <w:t>/</w:t>
      </w:r>
      <w:r w:rsidR="006C2CEC" w:rsidRPr="00791D08">
        <w:rPr>
          <w:rFonts w:ascii="Garamond" w:hAnsi="Garamond" w:cs="Times New Roman"/>
          <w:sz w:val="25"/>
          <w:szCs w:val="25"/>
        </w:rPr>
        <w:t>20</w:t>
      </w:r>
      <w:r w:rsidRPr="00791D08">
        <w:rPr>
          <w:rFonts w:ascii="Garamond" w:hAnsi="Garamond" w:cs="Times New Roman"/>
          <w:sz w:val="25"/>
          <w:szCs w:val="25"/>
        </w:rPr>
        <w:t xml:space="preserve">/ </w:t>
      </w:r>
      <w:r w:rsidR="006C2CEC" w:rsidRPr="00791D08">
        <w:rPr>
          <w:rFonts w:ascii="Garamond" w:hAnsi="Garamond" w:cs="Times New Roman"/>
          <w:sz w:val="25"/>
          <w:szCs w:val="25"/>
        </w:rPr>
        <w:t>DG</w:t>
      </w:r>
      <w:r w:rsidRPr="00791D08">
        <w:rPr>
          <w:rFonts w:ascii="Garamond" w:hAnsi="Garamond" w:cs="Times New Roman"/>
          <w:sz w:val="25"/>
          <w:szCs w:val="25"/>
        </w:rPr>
        <w:t>/</w:t>
      </w:r>
      <w:r w:rsidR="006C2CEC" w:rsidRPr="00791D08">
        <w:rPr>
          <w:rFonts w:ascii="Garamond" w:hAnsi="Garamond" w:cs="Times New Roman"/>
          <w:sz w:val="25"/>
          <w:szCs w:val="25"/>
        </w:rPr>
        <w:t>UCM/FF</w:t>
      </w:r>
    </w:p>
    <w:p w:rsidR="00D823F7" w:rsidRPr="00791D08" w:rsidRDefault="00D823F7" w:rsidP="00D823F7">
      <w:pPr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 xml:space="preserve">Venezia </w:t>
      </w:r>
      <w:r w:rsidR="00791D08">
        <w:rPr>
          <w:rFonts w:ascii="Garamond" w:hAnsi="Garamond" w:cs="Times New Roman"/>
          <w:sz w:val="25"/>
          <w:szCs w:val="25"/>
        </w:rPr>
        <w:t>1</w:t>
      </w:r>
      <w:r w:rsidR="00107C86">
        <w:rPr>
          <w:rFonts w:ascii="Garamond" w:hAnsi="Garamond" w:cs="Times New Roman"/>
          <w:sz w:val="25"/>
          <w:szCs w:val="25"/>
        </w:rPr>
        <w:t>0</w:t>
      </w:r>
      <w:r w:rsidR="00791D08">
        <w:rPr>
          <w:rFonts w:ascii="Garamond" w:hAnsi="Garamond" w:cs="Times New Roman"/>
          <w:sz w:val="25"/>
          <w:szCs w:val="25"/>
        </w:rPr>
        <w:t xml:space="preserve"> giugno</w:t>
      </w:r>
      <w:r w:rsidR="006C2CEC" w:rsidRPr="00791D08">
        <w:rPr>
          <w:rFonts w:ascii="Garamond" w:hAnsi="Garamond" w:cs="Times New Roman"/>
          <w:sz w:val="25"/>
          <w:szCs w:val="25"/>
        </w:rPr>
        <w:t xml:space="preserve"> 2020</w:t>
      </w:r>
    </w:p>
    <w:p w:rsidR="00D823F7" w:rsidRPr="00791D08" w:rsidRDefault="00D823F7" w:rsidP="00D823F7">
      <w:pPr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D823F7">
      <w:pPr>
        <w:rPr>
          <w:rFonts w:ascii="Garamond" w:hAnsi="Garamond" w:cs="Times New Roman"/>
          <w:b/>
          <w:sz w:val="25"/>
          <w:szCs w:val="25"/>
        </w:rPr>
      </w:pPr>
    </w:p>
    <w:p w:rsidR="005C079D" w:rsidRDefault="005C079D" w:rsidP="00D823F7">
      <w:pPr>
        <w:rPr>
          <w:rFonts w:ascii="Garamond" w:hAnsi="Garamond" w:cs="Times New Roman"/>
          <w:b/>
          <w:sz w:val="25"/>
          <w:szCs w:val="25"/>
        </w:rPr>
      </w:pPr>
    </w:p>
    <w:p w:rsidR="00D823F7" w:rsidRPr="00791D08" w:rsidRDefault="00D823F7" w:rsidP="00D823F7">
      <w:pPr>
        <w:rPr>
          <w:rFonts w:ascii="Garamond" w:hAnsi="Garamond" w:cs="Times New Roman"/>
          <w:b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Oggetto: Proposta di determina a contrarre e affidamento</w:t>
      </w:r>
    </w:p>
    <w:p w:rsidR="00D823F7" w:rsidRPr="00791D08" w:rsidRDefault="00D823F7" w:rsidP="00D823F7">
      <w:pPr>
        <w:rPr>
          <w:rFonts w:ascii="Garamond" w:hAnsi="Garamond" w:cs="Times New Roman"/>
          <w:sz w:val="25"/>
          <w:szCs w:val="25"/>
        </w:rPr>
      </w:pPr>
    </w:p>
    <w:p w:rsidR="00DA313C" w:rsidRDefault="00DA313C" w:rsidP="00DA313C">
      <w:pPr>
        <w:ind w:right="-1"/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b/>
          <w:bCs/>
          <w:sz w:val="25"/>
          <w:szCs w:val="25"/>
        </w:rPr>
        <w:t>Richiamate</w:t>
      </w:r>
      <w:r>
        <w:rPr>
          <w:rFonts w:ascii="Garamond" w:hAnsi="Garamond"/>
          <w:sz w:val="25"/>
          <w:szCs w:val="25"/>
        </w:rPr>
        <w:t xml:space="preserve"> le deliberazioni Assembleari del 29/11/2017 e del 16/10/2018 con cui è stato conferito e successivamente confermato l’incarico di Direttore Generale al Dott. Nicola Cattozzo fino al 30 settembre 2020;</w:t>
      </w:r>
    </w:p>
    <w:p w:rsidR="00DA313C" w:rsidRDefault="00DA313C" w:rsidP="00177559">
      <w:pPr>
        <w:jc w:val="both"/>
        <w:rPr>
          <w:rFonts w:ascii="Garamond" w:hAnsi="Garamond" w:cs="Times New Roman"/>
          <w:b/>
          <w:sz w:val="25"/>
          <w:szCs w:val="25"/>
        </w:rPr>
      </w:pPr>
    </w:p>
    <w:p w:rsidR="00485758" w:rsidRDefault="00485758" w:rsidP="00177559">
      <w:pPr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b/>
          <w:sz w:val="25"/>
          <w:szCs w:val="25"/>
        </w:rPr>
        <w:t>PREMESSO</w:t>
      </w:r>
      <w:r w:rsidR="00D823F7" w:rsidRPr="00791D08">
        <w:rPr>
          <w:rFonts w:ascii="Garamond" w:hAnsi="Garamond" w:cs="Times New Roman"/>
          <w:b/>
          <w:sz w:val="25"/>
          <w:szCs w:val="25"/>
        </w:rPr>
        <w:t xml:space="preserve"> che</w:t>
      </w:r>
      <w:r w:rsidR="00D823F7" w:rsidRPr="00791D08">
        <w:rPr>
          <w:rFonts w:ascii="Garamond" w:hAnsi="Garamond" w:cs="Times New Roman"/>
          <w:sz w:val="25"/>
          <w:szCs w:val="25"/>
        </w:rPr>
        <w:t xml:space="preserve"> A.M.E.S. S.p.A. </w:t>
      </w:r>
      <w:r>
        <w:rPr>
          <w:rFonts w:ascii="Garamond" w:hAnsi="Garamond" w:cs="Times New Roman"/>
          <w:sz w:val="25"/>
          <w:szCs w:val="25"/>
        </w:rPr>
        <w:t xml:space="preserve">è in </w:t>
      </w:r>
      <w:bookmarkStart w:id="0" w:name="_GoBack"/>
      <w:bookmarkEnd w:id="0"/>
      <w:r>
        <w:rPr>
          <w:rFonts w:ascii="Garamond" w:hAnsi="Garamond" w:cs="Times New Roman"/>
          <w:sz w:val="25"/>
          <w:szCs w:val="25"/>
        </w:rPr>
        <w:t>possesso da diversi anni della certificazione del sistema di gestione qualità, in conformità alla norma ISO:9001:2015, con riferimento ad “Erogazione di servizi di gestione delle farmacie comunali (dispensazione di prodotti farmaceutici e parafarmaceutici), di prevenzione ed informazione sanitaria ed iniziative di sensibilizzazione per la cittadinanza;</w:t>
      </w:r>
    </w:p>
    <w:p w:rsidR="00485758" w:rsidRDefault="00485758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485758" w:rsidRDefault="00485758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485758">
        <w:rPr>
          <w:rFonts w:ascii="Garamond" w:hAnsi="Garamond" w:cs="Times New Roman"/>
          <w:b/>
          <w:bCs/>
          <w:sz w:val="25"/>
          <w:szCs w:val="25"/>
        </w:rPr>
        <w:t>ATTESO che</w:t>
      </w:r>
      <w:r>
        <w:rPr>
          <w:rFonts w:ascii="Garamond" w:hAnsi="Garamond" w:cs="Times New Roman"/>
          <w:sz w:val="25"/>
          <w:szCs w:val="25"/>
        </w:rPr>
        <w:t xml:space="preserve"> AMES </w:t>
      </w:r>
      <w:r w:rsidR="00D823F7" w:rsidRPr="00791D08">
        <w:rPr>
          <w:rFonts w:ascii="Garamond" w:hAnsi="Garamond" w:cs="Times New Roman"/>
          <w:sz w:val="25"/>
          <w:szCs w:val="25"/>
        </w:rPr>
        <w:t>ha necessità d</w:t>
      </w:r>
      <w:r>
        <w:rPr>
          <w:rFonts w:ascii="Garamond" w:hAnsi="Garamond" w:cs="Times New Roman"/>
          <w:sz w:val="25"/>
          <w:szCs w:val="25"/>
        </w:rPr>
        <w:t>i affidare il servizio di taratura degli sfigmomanometri per le farmacie al fine di garantire i livelli di assistenza dedotti dalla carta dei servizi e mantenere la certificazione UNI EN ISO 9001:2015;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485758" w:rsidP="00177559">
      <w:pPr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b/>
          <w:sz w:val="25"/>
          <w:szCs w:val="25"/>
        </w:rPr>
        <w:t>CONSIDERATO</w:t>
      </w:r>
      <w:r w:rsidR="00D823F7" w:rsidRPr="00791D08">
        <w:rPr>
          <w:rFonts w:ascii="Garamond" w:hAnsi="Garamond" w:cs="Times New Roman"/>
          <w:b/>
          <w:sz w:val="25"/>
          <w:szCs w:val="25"/>
        </w:rPr>
        <w:t xml:space="preserve"> che</w:t>
      </w:r>
      <w:r w:rsidR="00D823F7" w:rsidRPr="00791D08">
        <w:rPr>
          <w:rFonts w:ascii="Garamond" w:hAnsi="Garamond" w:cs="Times New Roman"/>
          <w:sz w:val="25"/>
          <w:szCs w:val="25"/>
        </w:rPr>
        <w:t xml:space="preserve"> ai sensi dell’articolo 32, comma 2, del D. Lgs. 50/2016: </w:t>
      </w:r>
    </w:p>
    <w:p w:rsidR="005352BD" w:rsidRDefault="00D823F7" w:rsidP="005352BD">
      <w:pPr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426" w:hanging="284"/>
        <w:contextualSpacing/>
        <w:jc w:val="both"/>
        <w:outlineLvl w:val="0"/>
        <w:rPr>
          <w:rFonts w:ascii="Garamond" w:hAnsi="Garamond"/>
          <w:bCs/>
          <w:sz w:val="25"/>
          <w:szCs w:val="25"/>
        </w:rPr>
      </w:pPr>
      <w:r w:rsidRPr="00791D08">
        <w:rPr>
          <w:rFonts w:ascii="Garamond" w:hAnsi="Garamond"/>
          <w:bCs/>
          <w:sz w:val="25"/>
          <w:szCs w:val="25"/>
        </w:rPr>
        <w:t xml:space="preserve">Il fine del contratto è quello di provvedere all’affidamento di un servizio che consenta </w:t>
      </w:r>
      <w:r w:rsidR="005352BD">
        <w:rPr>
          <w:rFonts w:ascii="Garamond" w:hAnsi="Garamond"/>
          <w:bCs/>
          <w:sz w:val="25"/>
          <w:szCs w:val="25"/>
        </w:rPr>
        <w:t>un miglioramento della qualità aziendale anche ai fini del mantenimento della certificazione presso l’Ente</w:t>
      </w:r>
      <w:r w:rsidRPr="00791D08">
        <w:rPr>
          <w:rFonts w:ascii="Garamond" w:hAnsi="Garamond"/>
          <w:bCs/>
          <w:sz w:val="25"/>
          <w:szCs w:val="25"/>
        </w:rPr>
        <w:t>;</w:t>
      </w:r>
    </w:p>
    <w:p w:rsidR="005352BD" w:rsidRPr="005352BD" w:rsidRDefault="005352BD" w:rsidP="005352BD">
      <w:pPr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426" w:hanging="284"/>
        <w:contextualSpacing/>
        <w:jc w:val="both"/>
        <w:outlineLvl w:val="0"/>
        <w:rPr>
          <w:rFonts w:ascii="Garamond" w:hAnsi="Garamond"/>
          <w:bCs/>
          <w:sz w:val="25"/>
          <w:szCs w:val="25"/>
        </w:rPr>
      </w:pPr>
      <w:r w:rsidRPr="005352BD">
        <w:rPr>
          <w:rFonts w:ascii="Garamond" w:hAnsi="Garamond"/>
          <w:bCs/>
          <w:sz w:val="25"/>
          <w:szCs w:val="25"/>
        </w:rPr>
        <w:t xml:space="preserve">L’oggetto del contratto è il servizio di </w:t>
      </w:r>
      <w:r w:rsidR="00485758">
        <w:rPr>
          <w:rFonts w:ascii="Garamond" w:hAnsi="Garamond" w:cs="Times New Roman"/>
          <w:sz w:val="25"/>
          <w:szCs w:val="25"/>
        </w:rPr>
        <w:t>taratura di strumentazione presente nelle farmacie;</w:t>
      </w:r>
    </w:p>
    <w:p w:rsidR="00D823F7" w:rsidRPr="00791D08" w:rsidRDefault="00D823F7" w:rsidP="00177559">
      <w:pPr>
        <w:numPr>
          <w:ilvl w:val="0"/>
          <w:numId w:val="4"/>
        </w:numPr>
        <w:autoSpaceDE w:val="0"/>
        <w:autoSpaceDN w:val="0"/>
        <w:adjustRightInd w:val="0"/>
        <w:spacing w:before="240" w:line="276" w:lineRule="auto"/>
        <w:ind w:left="426" w:hanging="284"/>
        <w:contextualSpacing/>
        <w:jc w:val="both"/>
        <w:outlineLvl w:val="0"/>
        <w:rPr>
          <w:rFonts w:ascii="Garamond" w:hAnsi="Garamond"/>
          <w:bCs/>
          <w:sz w:val="25"/>
          <w:szCs w:val="25"/>
        </w:rPr>
      </w:pPr>
      <w:r w:rsidRPr="00791D08">
        <w:rPr>
          <w:rFonts w:ascii="Garamond" w:hAnsi="Garamond"/>
          <w:bCs/>
          <w:sz w:val="25"/>
          <w:szCs w:val="25"/>
        </w:rPr>
        <w:t xml:space="preserve">La durata del contratto è stabilita in </w:t>
      </w:r>
      <w:r w:rsidR="00E41CDF">
        <w:rPr>
          <w:rFonts w:ascii="Garamond" w:hAnsi="Garamond"/>
          <w:bCs/>
          <w:sz w:val="25"/>
          <w:szCs w:val="25"/>
        </w:rPr>
        <w:t>7 giorni lavorativi dall’affidamento</w:t>
      </w:r>
      <w:r w:rsidRPr="00791D08">
        <w:rPr>
          <w:rFonts w:ascii="Garamond" w:hAnsi="Garamond"/>
          <w:bCs/>
          <w:sz w:val="25"/>
          <w:szCs w:val="25"/>
        </w:rPr>
        <w:t>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VISTO</w:t>
      </w:r>
      <w:r w:rsidRPr="00791D08">
        <w:rPr>
          <w:rFonts w:ascii="Garamond" w:hAnsi="Garamond" w:cs="Times New Roman"/>
          <w:sz w:val="25"/>
          <w:szCs w:val="25"/>
        </w:rPr>
        <w:t xml:space="preserve"> il </w:t>
      </w:r>
      <w:proofErr w:type="spellStart"/>
      <w:r w:rsidRPr="00791D08">
        <w:rPr>
          <w:rFonts w:ascii="Garamond" w:hAnsi="Garamond" w:cs="Times New Roman"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 50/2016, art. 36, comma 2: </w:t>
      </w:r>
      <w:r w:rsidRPr="00791D08">
        <w:rPr>
          <w:rFonts w:ascii="Garamond" w:hAnsi="Garamond"/>
          <w:bCs/>
          <w:sz w:val="25"/>
          <w:szCs w:val="25"/>
        </w:rPr>
        <w:t>«</w:t>
      </w:r>
      <w:r w:rsidRPr="00791D08">
        <w:rPr>
          <w:rFonts w:ascii="Garamond" w:hAnsi="Garamond" w:cs="Times New Roman"/>
          <w:sz w:val="25"/>
          <w:szCs w:val="25"/>
        </w:rPr>
        <w:t xml:space="preserve">le stazioni appaltanti procedono all’affidamento di lavori, servizi e forniture di importo inferiore alle soglie di cui all’articolo 35, secondo le seguenti modalità: </w:t>
      </w:r>
      <w:r w:rsidRPr="00791D08">
        <w:rPr>
          <w:rFonts w:ascii="Garamond" w:hAnsi="Garamond" w:cs="Times New Roman"/>
          <w:i/>
          <w:sz w:val="25"/>
          <w:szCs w:val="25"/>
        </w:rPr>
        <w:t>a)</w:t>
      </w:r>
      <w:r w:rsidRPr="00791D08">
        <w:rPr>
          <w:rFonts w:ascii="Garamond" w:hAnsi="Garamond" w:cs="Times New Roman"/>
          <w:sz w:val="25"/>
          <w:szCs w:val="25"/>
        </w:rPr>
        <w:t xml:space="preserve"> per affidamenti di importo inferiore a 40.000 euro, mediante affidamento diretto, adeguatamente motivato</w:t>
      </w:r>
      <w:r w:rsidRPr="00791D08">
        <w:rPr>
          <w:rFonts w:ascii="Garamond" w:hAnsi="Garamond"/>
          <w:bCs/>
          <w:sz w:val="25"/>
          <w:szCs w:val="25"/>
        </w:rPr>
        <w:t>»;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VISTO</w:t>
      </w:r>
      <w:r w:rsidRPr="00791D08">
        <w:rPr>
          <w:rFonts w:ascii="Garamond" w:hAnsi="Garamond" w:cs="Times New Roman"/>
          <w:sz w:val="25"/>
          <w:szCs w:val="25"/>
        </w:rPr>
        <w:t xml:space="preserve"> </w:t>
      </w:r>
      <w:r w:rsidRPr="00E41CDF">
        <w:rPr>
          <w:rFonts w:ascii="Garamond" w:hAnsi="Garamond" w:cs="Times New Roman"/>
          <w:color w:val="0000FF" w:themeColor="hyperlink"/>
          <w:sz w:val="25"/>
          <w:szCs w:val="25"/>
          <w:u w:val="single"/>
        </w:rPr>
        <w:t>Cons. Stato, commissione speciale, parere 13 settembre 2016, n. 1903/2016</w:t>
      </w:r>
      <w:r w:rsidRPr="00791D08">
        <w:rPr>
          <w:rFonts w:ascii="Garamond" w:hAnsi="Garamond" w:cs="Times New Roman"/>
          <w:sz w:val="25"/>
          <w:szCs w:val="25"/>
        </w:rPr>
        <w:t xml:space="preserve">, ha ritenuto che la determinazione a contrattare, a differenza delle procedure negoziate di cui al </w:t>
      </w:r>
      <w:proofErr w:type="spellStart"/>
      <w:r w:rsidRPr="00791D08">
        <w:rPr>
          <w:rFonts w:ascii="Garamond" w:hAnsi="Garamond" w:cs="Times New Roman"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 50/2016, art. 36, comma 2, lett, da </w:t>
      </w:r>
      <w:r w:rsidRPr="00791D08">
        <w:rPr>
          <w:rFonts w:ascii="Garamond" w:hAnsi="Garamond" w:cs="Times New Roman"/>
          <w:i/>
          <w:sz w:val="25"/>
          <w:szCs w:val="25"/>
        </w:rPr>
        <w:t>b)</w:t>
      </w:r>
      <w:r w:rsidRPr="00791D08">
        <w:rPr>
          <w:rFonts w:ascii="Garamond" w:hAnsi="Garamond" w:cs="Times New Roman"/>
          <w:sz w:val="25"/>
          <w:szCs w:val="25"/>
        </w:rPr>
        <w:t xml:space="preserve"> a </w:t>
      </w:r>
      <w:r w:rsidRPr="00791D08">
        <w:rPr>
          <w:rFonts w:ascii="Garamond" w:hAnsi="Garamond" w:cs="Times New Roman"/>
          <w:i/>
          <w:sz w:val="25"/>
          <w:szCs w:val="25"/>
        </w:rPr>
        <w:t>c)</w:t>
      </w:r>
      <w:r w:rsidRPr="00791D08">
        <w:rPr>
          <w:rFonts w:ascii="Garamond" w:hAnsi="Garamond" w:cs="Times New Roman"/>
          <w:sz w:val="25"/>
          <w:szCs w:val="25"/>
        </w:rPr>
        <w:t>, possa essere unica e che quindi possa contestualmente sia riepilogare l’</w:t>
      </w:r>
      <w:r w:rsidRPr="00791D08">
        <w:rPr>
          <w:rFonts w:ascii="Garamond" w:hAnsi="Garamond" w:cs="Times New Roman"/>
          <w:i/>
          <w:sz w:val="25"/>
          <w:szCs w:val="25"/>
        </w:rPr>
        <w:t>iter</w:t>
      </w:r>
      <w:r w:rsidRPr="00791D08">
        <w:rPr>
          <w:rFonts w:ascii="Garamond" w:hAnsi="Garamond" w:cs="Times New Roman"/>
          <w:sz w:val="25"/>
          <w:szCs w:val="25"/>
        </w:rPr>
        <w:t xml:space="preserve"> motivazionale seguito per la scelta del contraente rispetto alle evidenziate necessità della Società, sia recare l’efficace definitiva aggiudicazione, tutto ciò anche nella </w:t>
      </w:r>
      <w:r w:rsidRPr="00791D08">
        <w:rPr>
          <w:rFonts w:ascii="Garamond" w:hAnsi="Garamond" w:cs="Times New Roman"/>
          <w:i/>
          <w:sz w:val="25"/>
          <w:szCs w:val="25"/>
        </w:rPr>
        <w:t>ratio</w:t>
      </w:r>
      <w:r w:rsidRPr="00791D08">
        <w:rPr>
          <w:rFonts w:ascii="Garamond" w:hAnsi="Garamond" w:cs="Times New Roman"/>
          <w:sz w:val="25"/>
          <w:szCs w:val="25"/>
        </w:rPr>
        <w:t xml:space="preserve"> di semplificazione e nel collegato principio di libertà delle forme che connotano l’</w:t>
      </w:r>
      <w:r w:rsidRPr="00791D08">
        <w:rPr>
          <w:rFonts w:ascii="Garamond" w:eastAsia="Times New Roman" w:hAnsi="Garamond" w:cs="Times New Roman"/>
          <w:bCs/>
          <w:iCs/>
          <w:color w:val="000000"/>
          <w:sz w:val="25"/>
          <w:szCs w:val="25"/>
          <w:lang w:eastAsia="it-IT"/>
        </w:rPr>
        <w:t>«affidamento diretto»;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CONSIDERATO</w:t>
      </w:r>
      <w:r w:rsidRPr="00791D08">
        <w:rPr>
          <w:rFonts w:ascii="Garamond" w:hAnsi="Garamond" w:cs="Times New Roman"/>
          <w:sz w:val="25"/>
          <w:szCs w:val="25"/>
        </w:rPr>
        <w:t xml:space="preserve"> che il richiamato D. Lgs. 50/2016, art. 36, comma 2, lett. </w:t>
      </w:r>
      <w:r w:rsidRPr="00791D08">
        <w:rPr>
          <w:rFonts w:ascii="Garamond" w:hAnsi="Garamond" w:cs="Times New Roman"/>
          <w:i/>
          <w:sz w:val="25"/>
          <w:szCs w:val="25"/>
        </w:rPr>
        <w:t>a)</w:t>
      </w:r>
      <w:r w:rsidRPr="00791D08">
        <w:rPr>
          <w:rFonts w:ascii="Garamond" w:hAnsi="Garamond" w:cs="Times New Roman"/>
          <w:sz w:val="25"/>
          <w:szCs w:val="25"/>
        </w:rPr>
        <w:t>, dà attuazione normativa al principio secondo cui per importi d’affidamento inferiori alla soglia comunitaria, laddove ricorra «un valore economico molto limitato» (</w:t>
      </w:r>
      <w:r w:rsidRPr="00791D08">
        <w:rPr>
          <w:rFonts w:ascii="Garamond" w:hAnsi="Garamond" w:cs="Times New Roman"/>
          <w:color w:val="0000FF" w:themeColor="hyperlink"/>
          <w:sz w:val="25"/>
          <w:szCs w:val="25"/>
          <w:u w:val="single"/>
        </w:rPr>
        <w:t xml:space="preserve">Comunicazione interpretativa della Commissione, G.U.U.E., 1° agosto 2006, C/179, </w:t>
      </w:r>
      <w:proofErr w:type="spellStart"/>
      <w:r w:rsidRPr="00791D08">
        <w:rPr>
          <w:rFonts w:ascii="Garamond" w:hAnsi="Garamond" w:cs="Times New Roman"/>
          <w:color w:val="0000FF" w:themeColor="hyperlink"/>
          <w:sz w:val="25"/>
          <w:szCs w:val="25"/>
          <w:u w:val="single"/>
        </w:rPr>
        <w:t>sottoparagrafo</w:t>
      </w:r>
      <w:proofErr w:type="spellEnd"/>
      <w:r w:rsidRPr="00791D08">
        <w:rPr>
          <w:rFonts w:ascii="Garamond" w:hAnsi="Garamond" w:cs="Times New Roman"/>
          <w:color w:val="0000FF" w:themeColor="hyperlink"/>
          <w:sz w:val="25"/>
          <w:szCs w:val="25"/>
          <w:u w:val="single"/>
        </w:rPr>
        <w:t xml:space="preserve"> 1.3.</w:t>
      </w:r>
      <w:r w:rsidRPr="00791D08">
        <w:rPr>
          <w:rFonts w:ascii="Garamond" w:hAnsi="Garamond" w:cs="Times New Roman"/>
          <w:sz w:val="25"/>
          <w:szCs w:val="25"/>
        </w:rPr>
        <w:t xml:space="preserve">), non occorre che sia comunque garantito il rispetto del principio della concorrenza per il mercato, richiesto invece per le procedure negoziate di cui al </w:t>
      </w:r>
      <w:proofErr w:type="spellStart"/>
      <w:r w:rsidRPr="00791D08">
        <w:rPr>
          <w:rFonts w:ascii="Garamond" w:hAnsi="Garamond" w:cs="Times New Roman"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 50/2016, art. 36, comma 2, lett, da </w:t>
      </w:r>
      <w:r w:rsidRPr="00791D08">
        <w:rPr>
          <w:rFonts w:ascii="Garamond" w:hAnsi="Garamond" w:cs="Times New Roman"/>
          <w:i/>
          <w:sz w:val="25"/>
          <w:szCs w:val="25"/>
        </w:rPr>
        <w:t>b)</w:t>
      </w:r>
      <w:r w:rsidRPr="00791D08">
        <w:rPr>
          <w:rFonts w:ascii="Garamond" w:hAnsi="Garamond" w:cs="Times New Roman"/>
          <w:sz w:val="25"/>
          <w:szCs w:val="25"/>
        </w:rPr>
        <w:t xml:space="preserve"> a </w:t>
      </w:r>
      <w:r w:rsidRPr="00791D08">
        <w:rPr>
          <w:rFonts w:ascii="Garamond" w:hAnsi="Garamond" w:cs="Times New Roman"/>
          <w:i/>
          <w:sz w:val="25"/>
          <w:szCs w:val="25"/>
        </w:rPr>
        <w:t>c)</w:t>
      </w:r>
      <w:r w:rsidRPr="00791D08">
        <w:rPr>
          <w:rFonts w:ascii="Garamond" w:hAnsi="Garamond" w:cs="Times New Roman"/>
          <w:sz w:val="25"/>
          <w:szCs w:val="25"/>
        </w:rPr>
        <w:t xml:space="preserve">; 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lastRenderedPageBreak/>
        <w:t>CONSIDERATO</w:t>
      </w:r>
      <w:r w:rsidRPr="00791D08">
        <w:rPr>
          <w:rFonts w:ascii="Garamond" w:hAnsi="Garamond" w:cs="Times New Roman"/>
          <w:sz w:val="25"/>
          <w:szCs w:val="25"/>
        </w:rPr>
        <w:t xml:space="preserve"> comunque che nella fattispecie non ricorre </w:t>
      </w:r>
      <w:r w:rsidRPr="00791D08">
        <w:rPr>
          <w:rFonts w:ascii="Garamond" w:eastAsia="Times New Roman" w:hAnsi="Garamond" w:cs="Times New Roman"/>
          <w:bCs/>
          <w:iCs/>
          <w:color w:val="000000"/>
          <w:sz w:val="25"/>
          <w:szCs w:val="25"/>
          <w:lang w:eastAsia="it-IT"/>
        </w:rPr>
        <w:t>«</w:t>
      </w:r>
      <w:r w:rsidRPr="00791D08">
        <w:rPr>
          <w:rFonts w:ascii="Garamond" w:hAnsi="Garamond" w:cs="Times New Roman"/>
          <w:sz w:val="25"/>
          <w:szCs w:val="25"/>
        </w:rPr>
        <w:t>un interesse transfrontaliero certo in conformità ai criteri elaborati dalla Corte di Giustizia</w:t>
      </w:r>
      <w:r w:rsidRPr="00791D08">
        <w:rPr>
          <w:rFonts w:ascii="Garamond" w:eastAsia="Times New Roman" w:hAnsi="Garamond" w:cs="Times New Roman"/>
          <w:bCs/>
          <w:iCs/>
          <w:color w:val="000000"/>
          <w:sz w:val="25"/>
          <w:szCs w:val="25"/>
          <w:lang w:eastAsia="it-IT"/>
        </w:rPr>
        <w:t>»</w:t>
      </w:r>
      <w:r w:rsidRPr="00791D08">
        <w:rPr>
          <w:rFonts w:ascii="Garamond" w:hAnsi="Garamond" w:cs="Times New Roman"/>
          <w:sz w:val="25"/>
          <w:szCs w:val="25"/>
        </w:rPr>
        <w:t xml:space="preserve"> (ANAC, linee guida n. 4, paragrafo 1.5, in </w:t>
      </w:r>
      <w:r w:rsidRPr="00791D08">
        <w:rPr>
          <w:rFonts w:ascii="Garamond" w:hAnsi="Garamond" w:cs="Times New Roman"/>
          <w:i/>
          <w:color w:val="0000FF" w:themeColor="hyperlink"/>
          <w:sz w:val="25"/>
          <w:szCs w:val="25"/>
          <w:u w:val="single"/>
        </w:rPr>
        <w:t>G.U.</w:t>
      </w:r>
      <w:r w:rsidRPr="00791D08">
        <w:rPr>
          <w:rFonts w:ascii="Garamond" w:hAnsi="Garamond" w:cs="Times New Roman"/>
          <w:color w:val="0000FF" w:themeColor="hyperlink"/>
          <w:sz w:val="25"/>
          <w:szCs w:val="25"/>
          <w:u w:val="single"/>
        </w:rPr>
        <w:t xml:space="preserve"> 23 novembre 2016, n. 274</w:t>
      </w:r>
      <w:r w:rsidRPr="00791D08">
        <w:rPr>
          <w:rFonts w:ascii="Garamond" w:hAnsi="Garamond" w:cs="Times New Roman"/>
          <w:sz w:val="25"/>
          <w:szCs w:val="25"/>
        </w:rPr>
        <w:t xml:space="preserve">); 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274205" w:rsidRPr="00791D08" w:rsidRDefault="00274205" w:rsidP="00177559">
      <w:pPr>
        <w:jc w:val="both"/>
        <w:rPr>
          <w:rFonts w:ascii="Garamond" w:hAnsi="Garamond" w:cs="Times New Roman"/>
          <w:b/>
          <w:sz w:val="25"/>
          <w:szCs w:val="25"/>
        </w:rPr>
      </w:pPr>
    </w:p>
    <w:p w:rsidR="00D823F7" w:rsidRPr="00791D08" w:rsidRDefault="00177559" w:rsidP="00177559">
      <w:pPr>
        <w:spacing w:after="240"/>
        <w:jc w:val="both"/>
        <w:rPr>
          <w:rFonts w:ascii="Garamond" w:hAnsi="Garamond" w:cs="Times New Roman"/>
          <w:b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ATTESO</w:t>
      </w:r>
      <w:r w:rsidR="00D823F7" w:rsidRPr="00791D08">
        <w:rPr>
          <w:rFonts w:ascii="Garamond" w:hAnsi="Garamond" w:cs="Times New Roman"/>
          <w:b/>
          <w:sz w:val="25"/>
          <w:szCs w:val="25"/>
        </w:rPr>
        <w:t xml:space="preserve"> che:</w:t>
      </w:r>
    </w:p>
    <w:p w:rsidR="00D823F7" w:rsidRPr="00791D08" w:rsidRDefault="00D823F7" w:rsidP="001775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>va comunque garantito l’interesse-dovere di A.M.E.S. S.p.A. alla convenienza economica nell’acquisizione di una prestazione a titolo oneroso;</w:t>
      </w:r>
    </w:p>
    <w:p w:rsidR="00D823F7" w:rsidRPr="00791D08" w:rsidRDefault="00D823F7" w:rsidP="0017755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>la dovuta rilevanza di questo principio gioca su un piano diverso da quello della garanzia del principio concorrenziale, nel senso che il principio della convenienza può comunque essere garantito, anzi, a maggior ragione deve essere garantito proprio perché non c’è gara aperta a ogni possibile operatore economico;</w:t>
      </w:r>
    </w:p>
    <w:p w:rsidR="00D823F7" w:rsidRPr="00791D08" w:rsidRDefault="00D823F7" w:rsidP="0017755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Garamond" w:hAnsi="Garamond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>pur affermando il codice che l’</w:t>
      </w:r>
      <w:r w:rsidRPr="00791D08">
        <w:rPr>
          <w:rFonts w:ascii="Garamond" w:hAnsi="Garamond"/>
          <w:bCs/>
          <w:sz w:val="25"/>
          <w:szCs w:val="25"/>
        </w:rPr>
        <w:t>«affidamento di lavori, servizi e forniture di importo inferiore alle soglie di cui all’articolo 35 avvengono nel rispetto dei principi di cui all’art. 30, comma 1», cioè dei principi fondamentali del Trattato (</w:t>
      </w:r>
      <w:proofErr w:type="spellStart"/>
      <w:r w:rsidRPr="00791D08">
        <w:rPr>
          <w:rFonts w:ascii="Garamond" w:hAnsi="Garamond"/>
          <w:bCs/>
          <w:sz w:val="25"/>
          <w:szCs w:val="25"/>
        </w:rPr>
        <w:t>D.Lgs.</w:t>
      </w:r>
      <w:proofErr w:type="spellEnd"/>
      <w:r w:rsidRPr="00791D08">
        <w:rPr>
          <w:rFonts w:ascii="Garamond" w:hAnsi="Garamond"/>
          <w:bCs/>
          <w:sz w:val="25"/>
          <w:szCs w:val="25"/>
        </w:rPr>
        <w:t xml:space="preserve"> 50/2016, art. 36, comma 1), </w:t>
      </w:r>
      <w:r w:rsidRPr="00791D08">
        <w:rPr>
          <w:rFonts w:ascii="Garamond" w:hAnsi="Garamond" w:cs="Times New Roman"/>
          <w:sz w:val="25"/>
          <w:szCs w:val="25"/>
        </w:rPr>
        <w:t xml:space="preserve">la scelta del contraente non è però qui da assoggettarsi all’aggravamento procedurale </w:t>
      </w:r>
      <w:proofErr w:type="gramStart"/>
      <w:r w:rsidRPr="00791D08">
        <w:rPr>
          <w:rFonts w:ascii="Garamond" w:hAnsi="Garamond" w:cs="Times New Roman"/>
          <w:i/>
          <w:sz w:val="25"/>
          <w:szCs w:val="25"/>
        </w:rPr>
        <w:t>pro concorrenziale</w:t>
      </w:r>
      <w:proofErr w:type="gramEnd"/>
      <w:r w:rsidRPr="00791D08">
        <w:rPr>
          <w:rFonts w:ascii="Garamond" w:hAnsi="Garamond" w:cs="Times New Roman"/>
          <w:sz w:val="25"/>
          <w:szCs w:val="25"/>
        </w:rPr>
        <w:t xml:space="preserve"> previsto invece dalla lett. </w:t>
      </w:r>
      <w:r w:rsidRPr="00791D08">
        <w:rPr>
          <w:rFonts w:ascii="Garamond" w:hAnsi="Garamond" w:cs="Times New Roman"/>
          <w:i/>
          <w:sz w:val="25"/>
          <w:szCs w:val="25"/>
        </w:rPr>
        <w:t xml:space="preserve">b) </w:t>
      </w:r>
      <w:r w:rsidRPr="00791D08">
        <w:rPr>
          <w:rFonts w:ascii="Garamond" w:hAnsi="Garamond" w:cs="Times New Roman"/>
          <w:sz w:val="25"/>
          <w:szCs w:val="25"/>
        </w:rPr>
        <w:t xml:space="preserve">del comma 2 del medesimo art. 36 del </w:t>
      </w:r>
      <w:proofErr w:type="spellStart"/>
      <w:r w:rsidRPr="00791D08">
        <w:rPr>
          <w:rFonts w:ascii="Garamond" w:hAnsi="Garamond" w:cs="Times New Roman"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 50/2016 </w:t>
      </w:r>
      <w:r w:rsidRPr="00791D08">
        <w:rPr>
          <w:rFonts w:ascii="Garamond" w:hAnsi="Garamond"/>
          <w:bCs/>
          <w:sz w:val="25"/>
          <w:szCs w:val="25"/>
        </w:rPr>
        <w:t xml:space="preserve">e tutto ciò in quanto l’«affidamento diretto» costituisce proprio l’eccezione oggettiva rispetto alla suddetta regola </w:t>
      </w:r>
      <w:proofErr w:type="gramStart"/>
      <w:r w:rsidRPr="00791D08">
        <w:rPr>
          <w:rFonts w:ascii="Garamond" w:hAnsi="Garamond"/>
          <w:bCs/>
          <w:i/>
          <w:sz w:val="25"/>
          <w:szCs w:val="25"/>
        </w:rPr>
        <w:t>pro concorrenziale</w:t>
      </w:r>
      <w:proofErr w:type="gramEnd"/>
      <w:r w:rsidRPr="00791D08">
        <w:rPr>
          <w:rFonts w:ascii="Garamond" w:hAnsi="Garamond"/>
          <w:bCs/>
          <w:sz w:val="25"/>
          <w:szCs w:val="25"/>
        </w:rPr>
        <w:t>;</w:t>
      </w:r>
    </w:p>
    <w:p w:rsidR="00D823F7" w:rsidRPr="00791D08" w:rsidRDefault="00D823F7" w:rsidP="00177559">
      <w:pPr>
        <w:jc w:val="both"/>
        <w:rPr>
          <w:rFonts w:ascii="Garamond" w:hAnsi="Garamond"/>
          <w:bCs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/>
          <w:bCs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ATTESO</w:t>
      </w:r>
      <w:r w:rsidRPr="00791D08">
        <w:rPr>
          <w:rFonts w:ascii="Garamond" w:hAnsi="Garamond" w:cs="Times New Roman"/>
          <w:sz w:val="25"/>
          <w:szCs w:val="25"/>
        </w:rPr>
        <w:t xml:space="preserve"> che l’individuazione degli operatori economici avviene secondo uno di due criteri motivazionali di fondo, anche in possibile combinazione fra di loro, e cioè: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pStyle w:val="Paragrafoelenco"/>
        <w:numPr>
          <w:ilvl w:val="0"/>
          <w:numId w:val="5"/>
        </w:num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 xml:space="preserve">in base al canone della “passata esperienza”, per aver precedentemente l’operatore economico proceduto correttamente alla prestazione del servizio; </w:t>
      </w:r>
    </w:p>
    <w:p w:rsidR="00D823F7" w:rsidRPr="00791D08" w:rsidRDefault="00D823F7" w:rsidP="00177559">
      <w:pPr>
        <w:pStyle w:val="Paragrafoelenco"/>
        <w:numPr>
          <w:ilvl w:val="0"/>
          <w:numId w:val="5"/>
        </w:num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Cs/>
          <w:sz w:val="25"/>
          <w:szCs w:val="25"/>
        </w:rPr>
        <w:t xml:space="preserve">«nel rispetto del principio di rotazione» generica </w:t>
      </w:r>
      <w:r w:rsidRPr="00791D08">
        <w:rPr>
          <w:rFonts w:ascii="Garamond" w:hAnsi="Garamond" w:cs="Times New Roman"/>
          <w:sz w:val="25"/>
          <w:szCs w:val="25"/>
        </w:rPr>
        <w:t>(</w:t>
      </w:r>
      <w:proofErr w:type="spellStart"/>
      <w:r w:rsidRPr="00791D08">
        <w:rPr>
          <w:rFonts w:ascii="Garamond" w:hAnsi="Garamond" w:cs="Times New Roman"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sz w:val="25"/>
          <w:szCs w:val="25"/>
        </w:rPr>
        <w:t xml:space="preserve"> 50/2016, art. 50, comma 1), per cui nel corso di un anno – in linea anche con i principi dell’anticorruzione – vengono contattati</w:t>
      </w:r>
      <w:r w:rsidR="005C079D">
        <w:rPr>
          <w:rFonts w:ascii="Garamond" w:hAnsi="Garamond" w:cs="Times New Roman"/>
          <w:sz w:val="25"/>
          <w:szCs w:val="25"/>
        </w:rPr>
        <w:t xml:space="preserve"> o</w:t>
      </w:r>
      <w:r w:rsidRPr="00791D08">
        <w:rPr>
          <w:rFonts w:ascii="Garamond" w:hAnsi="Garamond" w:cs="Times New Roman"/>
          <w:sz w:val="25"/>
          <w:szCs w:val="25"/>
        </w:rPr>
        <w:t xml:space="preserve">peratori economici che non siano sempre gli stessi, peraltro 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«ove esistenti» (in quanto, già ai sensi dell’art. 50, comma 2, lett. </w:t>
      </w:r>
      <w:r w:rsidRPr="00791D08">
        <w:rPr>
          <w:rFonts w:ascii="Garamond" w:hAnsi="Garamond" w:cs="Times New Roman"/>
          <w:bCs/>
          <w:i/>
          <w:sz w:val="25"/>
          <w:szCs w:val="25"/>
        </w:rPr>
        <w:t>b)</w:t>
      </w:r>
      <w:r w:rsidRPr="00791D08">
        <w:rPr>
          <w:rFonts w:ascii="Garamond" w:hAnsi="Garamond" w:cs="Times New Roman"/>
          <w:bCs/>
          <w:sz w:val="25"/>
          <w:szCs w:val="25"/>
        </w:rPr>
        <w:t>, possono anche darsi casi di difficile reperibilità degli operatori economici stessi);</w:t>
      </w:r>
      <w:r w:rsidRPr="00791D08">
        <w:rPr>
          <w:rFonts w:ascii="Garamond" w:hAnsi="Garamond" w:cs="Times New Roman"/>
          <w:sz w:val="25"/>
          <w:szCs w:val="25"/>
        </w:rPr>
        <w:t xml:space="preserve"> </w:t>
      </w:r>
    </w:p>
    <w:p w:rsidR="00D823F7" w:rsidRPr="00791D08" w:rsidRDefault="00D823F7" w:rsidP="00177559">
      <w:pPr>
        <w:jc w:val="both"/>
        <w:rPr>
          <w:rFonts w:ascii="Garamond" w:hAnsi="Garamond"/>
          <w:b/>
          <w:sz w:val="25"/>
          <w:szCs w:val="25"/>
          <w:highlight w:val="lightGray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CONSIDERATO</w:t>
      </w:r>
      <w:r w:rsidRPr="00791D08">
        <w:rPr>
          <w:rFonts w:ascii="Garamond" w:hAnsi="Garamond" w:cs="Times New Roman"/>
          <w:sz w:val="25"/>
          <w:szCs w:val="25"/>
        </w:rPr>
        <w:t xml:space="preserve"> altresì che </w:t>
      </w:r>
    </w:p>
    <w:p w:rsidR="00D823F7" w:rsidRPr="00791D08" w:rsidRDefault="00E41CDF" w:rsidP="00177559">
      <w:pPr>
        <w:pStyle w:val="Paragrafoelenco"/>
        <w:numPr>
          <w:ilvl w:val="0"/>
          <w:numId w:val="6"/>
        </w:numPr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 xml:space="preserve">La società Newton </w:t>
      </w:r>
      <w:proofErr w:type="spellStart"/>
      <w:r>
        <w:rPr>
          <w:rFonts w:ascii="Garamond" w:hAnsi="Garamond" w:cs="Times New Roman"/>
          <w:sz w:val="25"/>
          <w:szCs w:val="25"/>
        </w:rPr>
        <w:t>Srl</w:t>
      </w:r>
      <w:proofErr w:type="spellEnd"/>
      <w:r>
        <w:rPr>
          <w:rFonts w:ascii="Garamond" w:hAnsi="Garamond" w:cs="Times New Roman"/>
          <w:sz w:val="25"/>
          <w:szCs w:val="25"/>
        </w:rPr>
        <w:t xml:space="preserve"> è azienda esperta nel settore e nel servizio richiesto, ben nota ad AMES Spa per affidabilità e competenza;</w:t>
      </w:r>
    </w:p>
    <w:p w:rsidR="00D823F7" w:rsidRPr="00791D08" w:rsidRDefault="00D823F7" w:rsidP="00177559">
      <w:pPr>
        <w:pStyle w:val="Paragrafoelenco"/>
        <w:jc w:val="both"/>
        <w:rPr>
          <w:rFonts w:ascii="Garamond" w:hAnsi="Garamond" w:cs="Times New Roman"/>
          <w:sz w:val="25"/>
          <w:szCs w:val="25"/>
        </w:rPr>
      </w:pPr>
    </w:p>
    <w:p w:rsidR="00E41CDF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ATTESO</w:t>
      </w:r>
      <w:r w:rsidRPr="00791D08">
        <w:rPr>
          <w:rFonts w:ascii="Garamond" w:hAnsi="Garamond" w:cs="Times New Roman"/>
          <w:sz w:val="25"/>
          <w:szCs w:val="25"/>
        </w:rPr>
        <w:t xml:space="preserve"> che </w:t>
      </w:r>
      <w:r w:rsidR="00E41CDF">
        <w:rPr>
          <w:rFonts w:ascii="Garamond" w:hAnsi="Garamond" w:cs="Times New Roman"/>
          <w:sz w:val="25"/>
          <w:szCs w:val="25"/>
        </w:rPr>
        <w:t>contattata per le vie brevi la società garantisce il servizio di taratura alle medesime condizioni economiche proposte lo scorso anno;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 xml:space="preserve">alle medesime condizioni originariamente proposte, </w:t>
      </w:r>
      <w:r w:rsidR="00E41CDF">
        <w:rPr>
          <w:rFonts w:ascii="Garamond" w:hAnsi="Garamond" w:cs="Times New Roman"/>
          <w:sz w:val="25"/>
          <w:szCs w:val="25"/>
        </w:rPr>
        <w:t>pari ad € 42,00 per tarature superiori ad 11 strumenti</w:t>
      </w:r>
      <w:r w:rsidRPr="00791D08">
        <w:rPr>
          <w:rFonts w:ascii="Garamond" w:hAnsi="Garamond" w:cs="Times New Roman"/>
          <w:sz w:val="25"/>
          <w:szCs w:val="25"/>
        </w:rPr>
        <w:t>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/>
          <w:bCs/>
          <w:sz w:val="25"/>
          <w:szCs w:val="25"/>
        </w:rPr>
        <w:t>ATTESO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che, rientrandosi negli </w:t>
      </w:r>
      <w:r w:rsidRPr="00791D08">
        <w:rPr>
          <w:rFonts w:ascii="Garamond" w:hAnsi="Garamond"/>
          <w:bCs/>
          <w:sz w:val="25"/>
          <w:szCs w:val="25"/>
        </w:rPr>
        <w:t>«</w:t>
      </w:r>
      <w:r w:rsidRPr="00791D08">
        <w:rPr>
          <w:rFonts w:ascii="Garamond" w:hAnsi="Garamond" w:cs="Times New Roman"/>
          <w:bCs/>
          <w:sz w:val="25"/>
          <w:szCs w:val="25"/>
        </w:rPr>
        <w:t>affidamenti di importo non superiore a 40.000 euro</w:t>
      </w:r>
      <w:r w:rsidRPr="00791D08">
        <w:rPr>
          <w:rFonts w:ascii="Garamond" w:hAnsi="Garamond"/>
          <w:bCs/>
          <w:sz w:val="25"/>
          <w:szCs w:val="25"/>
        </w:rPr>
        <w:t xml:space="preserve">», 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è applicabile la stipulazione semplificata </w:t>
      </w:r>
      <w:r w:rsidRPr="00791D08">
        <w:rPr>
          <w:rFonts w:ascii="Garamond" w:hAnsi="Garamond"/>
          <w:bCs/>
          <w:sz w:val="25"/>
          <w:szCs w:val="25"/>
        </w:rPr>
        <w:t>«</w:t>
      </w:r>
      <w:r w:rsidRPr="00791D08">
        <w:rPr>
          <w:rFonts w:ascii="Garamond" w:hAnsi="Garamond" w:cs="Times New Roman"/>
          <w:bCs/>
          <w:sz w:val="25"/>
          <w:szCs w:val="25"/>
        </w:rPr>
        <w:t>mediante corrispondenza secondo l’uso del commercio consistente in un apposito scambio di lettere</w:t>
      </w:r>
      <w:r w:rsidRPr="00791D08">
        <w:rPr>
          <w:rFonts w:ascii="Garamond" w:hAnsi="Garamond"/>
          <w:bCs/>
          <w:sz w:val="25"/>
          <w:szCs w:val="25"/>
        </w:rPr>
        <w:t>»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(</w:t>
      </w:r>
      <w:proofErr w:type="spellStart"/>
      <w:r w:rsidRPr="00791D08">
        <w:rPr>
          <w:rFonts w:ascii="Garamond" w:hAnsi="Garamond" w:cs="Times New Roman"/>
          <w:bCs/>
          <w:sz w:val="25"/>
          <w:szCs w:val="25"/>
        </w:rPr>
        <w:t>D.Lgs.</w:t>
      </w:r>
      <w:proofErr w:type="spellEnd"/>
      <w:r w:rsidRPr="00791D08">
        <w:rPr>
          <w:rFonts w:ascii="Garamond" w:hAnsi="Garamond" w:cs="Times New Roman"/>
          <w:bCs/>
          <w:sz w:val="25"/>
          <w:szCs w:val="25"/>
        </w:rPr>
        <w:t xml:space="preserve"> 50/2016, art. 32, comma 14);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/>
          <w:bCs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/>
          <w:bCs/>
          <w:sz w:val="25"/>
          <w:szCs w:val="25"/>
        </w:rPr>
        <w:lastRenderedPageBreak/>
        <w:t>EVIDENZIATO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pertanto che questa Società ha garantito </w:t>
      </w:r>
      <w:r w:rsidRPr="00791D08">
        <w:rPr>
          <w:rFonts w:ascii="Garamond" w:eastAsia="Times New Roman" w:hAnsi="Garamond" w:cs="Times New Roman"/>
          <w:bCs/>
          <w:iCs/>
          <w:color w:val="000000"/>
          <w:sz w:val="25"/>
          <w:szCs w:val="25"/>
          <w:lang w:eastAsia="it-IT"/>
        </w:rPr>
        <w:t>«</w:t>
      </w:r>
      <w:r w:rsidRPr="00791D08">
        <w:rPr>
          <w:rFonts w:ascii="Garamond" w:hAnsi="Garamond" w:cs="Times New Roman"/>
          <w:bCs/>
          <w:sz w:val="25"/>
          <w:szCs w:val="25"/>
        </w:rPr>
        <w:t>in aderenza: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Cs/>
          <w:i/>
          <w:sz w:val="25"/>
          <w:szCs w:val="25"/>
        </w:rPr>
        <w:t>a)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al principio di economicità, l’uso ottimale delle risorse da impiegare nello svolgimento della selezione ovvero nell’esecuzione del contratto;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Cs/>
          <w:i/>
          <w:sz w:val="25"/>
          <w:szCs w:val="25"/>
        </w:rPr>
        <w:t>b)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al principio di efficacia, la congruità dei propri atti rispetto al conseguimento dello scopo e dell’interesse pubblico cui sono preordinati;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Cs/>
          <w:i/>
          <w:sz w:val="25"/>
          <w:szCs w:val="25"/>
        </w:rPr>
        <w:t>c)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al principio di tempestività, l’esigenza di non dilatare la durata del procedimento di selezione del contraente in assenza di obiettive ragioni;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Cs/>
          <w:i/>
          <w:sz w:val="25"/>
          <w:szCs w:val="25"/>
        </w:rPr>
        <w:t>d)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al principio di correttezza, una condotta leale ed improntata a buona fede, nella fase di affidamento;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Cs/>
          <w:i/>
          <w:sz w:val="25"/>
          <w:szCs w:val="25"/>
        </w:rPr>
        <w:t>e)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al principio di proporzionalità, l’adeguatezza e idoneità dell’azione rispetto alle finalità e all’importo dell’affidamento;</w:t>
      </w:r>
    </w:p>
    <w:p w:rsidR="00DF45CF" w:rsidRPr="00791D08" w:rsidRDefault="00DF45CF" w:rsidP="00177559">
      <w:pPr>
        <w:jc w:val="both"/>
        <w:rPr>
          <w:rFonts w:ascii="Garamond" w:hAnsi="Garamond" w:cs="Times New Roman"/>
          <w:bCs/>
          <w:sz w:val="25"/>
          <w:szCs w:val="25"/>
        </w:rPr>
      </w:pPr>
    </w:p>
    <w:p w:rsidR="00DF45CF" w:rsidRDefault="00DF45CF" w:rsidP="00177559">
      <w:pPr>
        <w:jc w:val="both"/>
        <w:rPr>
          <w:rFonts w:ascii="Garamond" w:hAnsi="Garamond" w:cs="Times New Roman"/>
          <w:bCs/>
          <w:sz w:val="25"/>
          <w:szCs w:val="25"/>
        </w:rPr>
      </w:pPr>
      <w:r w:rsidRPr="00791D08">
        <w:rPr>
          <w:rFonts w:ascii="Garamond" w:hAnsi="Garamond" w:cs="Times New Roman"/>
          <w:b/>
          <w:bCs/>
          <w:sz w:val="25"/>
          <w:szCs w:val="25"/>
        </w:rPr>
        <w:t>DATO ATTO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che non esistono convenzioni attive in Consip avente oggetto comparabile al servizio de quo come da tabella allegata all</w:t>
      </w:r>
      <w:r w:rsidR="00ED3871">
        <w:rPr>
          <w:rFonts w:ascii="Garamond" w:hAnsi="Garamond" w:cs="Times New Roman"/>
          <w:bCs/>
          <w:sz w:val="25"/>
          <w:szCs w:val="25"/>
        </w:rPr>
        <w:t>a</w:t>
      </w:r>
      <w:r w:rsidRPr="00791D08">
        <w:rPr>
          <w:rFonts w:ascii="Garamond" w:hAnsi="Garamond" w:cs="Times New Roman"/>
          <w:bCs/>
          <w:sz w:val="25"/>
          <w:szCs w:val="25"/>
        </w:rPr>
        <w:t xml:space="preserve"> presente determina;</w:t>
      </w:r>
    </w:p>
    <w:p w:rsidR="005352BD" w:rsidRDefault="005352BD" w:rsidP="00177559">
      <w:pPr>
        <w:jc w:val="both"/>
        <w:rPr>
          <w:rFonts w:ascii="Garamond" w:hAnsi="Garamond" w:cs="Times New Roman"/>
          <w:bCs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C84A1C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791D08">
        <w:rPr>
          <w:rFonts w:ascii="Garamond" w:hAnsi="Garamond" w:cs="Times New Roman"/>
          <w:b/>
          <w:sz w:val="25"/>
          <w:szCs w:val="25"/>
        </w:rPr>
        <w:t>DETERMINA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b/>
          <w:sz w:val="25"/>
          <w:szCs w:val="25"/>
        </w:rPr>
      </w:pPr>
    </w:p>
    <w:p w:rsidR="00D823F7" w:rsidRPr="00791D08" w:rsidRDefault="00D823F7" w:rsidP="0017755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>Le premesse costituiscono parte integrante della presente proposta;</w:t>
      </w:r>
    </w:p>
    <w:p w:rsidR="00D823F7" w:rsidRPr="00791D08" w:rsidRDefault="00D823F7" w:rsidP="0017755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 xml:space="preserve">Di affidare le prestazioni di cui si tratta </w:t>
      </w:r>
      <w:r w:rsidR="00DA313C">
        <w:rPr>
          <w:rFonts w:ascii="Garamond" w:hAnsi="Garamond" w:cs="Times New Roman"/>
          <w:sz w:val="25"/>
          <w:szCs w:val="25"/>
        </w:rPr>
        <w:t>al</w:t>
      </w:r>
      <w:r w:rsidR="00E41CDF">
        <w:rPr>
          <w:rFonts w:ascii="Garamond" w:hAnsi="Garamond" w:cs="Times New Roman"/>
          <w:sz w:val="25"/>
          <w:szCs w:val="25"/>
        </w:rPr>
        <w:t>la ditta NEWTON SRL –</w:t>
      </w:r>
      <w:r w:rsidR="00DA313C">
        <w:rPr>
          <w:rFonts w:ascii="Garamond" w:hAnsi="Garamond" w:cs="Times New Roman"/>
          <w:sz w:val="25"/>
          <w:szCs w:val="25"/>
        </w:rPr>
        <w:t xml:space="preserve"> </w:t>
      </w:r>
      <w:r w:rsidR="00E41CDF">
        <w:rPr>
          <w:rFonts w:ascii="Garamond" w:hAnsi="Garamond" w:cs="Times New Roman"/>
          <w:sz w:val="25"/>
          <w:szCs w:val="25"/>
        </w:rPr>
        <w:t>Via del Sorgo 1</w:t>
      </w:r>
      <w:r w:rsidR="00DA313C">
        <w:rPr>
          <w:rFonts w:ascii="Garamond" w:eastAsia="Calibri" w:hAnsi="Garamond" w:cs="Times New Roman"/>
          <w:bCs/>
          <w:color w:val="000000"/>
          <w:sz w:val="25"/>
          <w:szCs w:val="25"/>
        </w:rPr>
        <w:t>2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 – </w:t>
      </w:r>
      <w:r w:rsidR="00E41CDF">
        <w:rPr>
          <w:rFonts w:ascii="Garamond" w:eastAsia="Calibri" w:hAnsi="Garamond" w:cs="Times New Roman"/>
          <w:bCs/>
          <w:color w:val="000000"/>
          <w:sz w:val="25"/>
          <w:szCs w:val="25"/>
        </w:rPr>
        <w:t>30173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 – </w:t>
      </w:r>
      <w:r w:rsidR="00E41CDF">
        <w:rPr>
          <w:rFonts w:ascii="Garamond" w:eastAsia="Calibri" w:hAnsi="Garamond" w:cs="Times New Roman"/>
          <w:bCs/>
          <w:color w:val="000000"/>
          <w:sz w:val="25"/>
          <w:szCs w:val="25"/>
        </w:rPr>
        <w:t>Mestre Venezia</w:t>
      </w:r>
      <w:r w:rsidR="0021663B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 (VE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), </w:t>
      </w:r>
      <w:r w:rsidR="00DA313C">
        <w:rPr>
          <w:rFonts w:ascii="Garamond" w:eastAsia="Calibri" w:hAnsi="Garamond" w:cs="Times New Roman"/>
          <w:bCs/>
          <w:color w:val="000000"/>
          <w:sz w:val="25"/>
          <w:szCs w:val="25"/>
        </w:rPr>
        <w:t>P.IVA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 </w:t>
      </w:r>
      <w:r w:rsidR="0021663B" w:rsidRPr="0021663B">
        <w:rPr>
          <w:rFonts w:ascii="Garamond" w:eastAsia="Calibri" w:hAnsi="Garamond" w:cs="Times New Roman"/>
          <w:bCs/>
          <w:color w:val="000000"/>
          <w:sz w:val="25"/>
          <w:szCs w:val="25"/>
        </w:rPr>
        <w:t>02726110279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>,</w:t>
      </w:r>
      <w:r w:rsidR="0021663B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 fino alla concorrenza di € 1.800,00 </w:t>
      </w:r>
      <w:r w:rsidRPr="00791D08">
        <w:rPr>
          <w:rFonts w:ascii="Garamond" w:eastAsia="Calibri" w:hAnsi="Garamond" w:cs="Times New Roman"/>
          <w:bCs/>
          <w:color w:val="000000"/>
          <w:sz w:val="25"/>
          <w:szCs w:val="25"/>
        </w:rPr>
        <w:t xml:space="preserve">per </w:t>
      </w:r>
      <w:r w:rsidR="0021663B">
        <w:rPr>
          <w:rFonts w:ascii="Garamond" w:eastAsia="Calibri" w:hAnsi="Garamond" w:cs="Times New Roman"/>
          <w:bCs/>
          <w:color w:val="000000"/>
          <w:sz w:val="25"/>
          <w:szCs w:val="25"/>
        </w:rPr>
        <w:t>l’anno 2020.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Pr="00791D08">
        <w:rPr>
          <w:rFonts w:ascii="Garamond" w:hAnsi="Garamond" w:cs="Times New Roman"/>
          <w:sz w:val="25"/>
          <w:szCs w:val="25"/>
        </w:rPr>
        <w:tab/>
      </w:r>
      <w:r w:rsidR="00177559" w:rsidRPr="00791D08">
        <w:rPr>
          <w:rFonts w:ascii="Garamond" w:hAnsi="Garamond" w:cs="Times New Roman"/>
          <w:sz w:val="25"/>
          <w:szCs w:val="25"/>
        </w:rPr>
        <w:t>Il Direttore Generale</w:t>
      </w:r>
    </w:p>
    <w:p w:rsidR="00177559" w:rsidRPr="00791D08" w:rsidRDefault="00177559" w:rsidP="00177559">
      <w:pPr>
        <w:ind w:left="5664" w:firstLine="708"/>
        <w:jc w:val="both"/>
        <w:rPr>
          <w:rFonts w:ascii="Garamond" w:hAnsi="Garamond" w:cs="Times New Roman"/>
          <w:sz w:val="25"/>
          <w:szCs w:val="25"/>
        </w:rPr>
      </w:pPr>
      <w:r w:rsidRPr="00791D08">
        <w:rPr>
          <w:rFonts w:ascii="Garamond" w:hAnsi="Garamond" w:cs="Times New Roman"/>
          <w:sz w:val="25"/>
          <w:szCs w:val="25"/>
        </w:rPr>
        <w:t>Dott. Nicola Cattozzo</w:t>
      </w: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 w:cs="Times New Roman"/>
          <w:sz w:val="25"/>
          <w:szCs w:val="25"/>
        </w:rPr>
      </w:pPr>
    </w:p>
    <w:p w:rsidR="00D823F7" w:rsidRPr="00791D08" w:rsidRDefault="00D823F7" w:rsidP="00177559">
      <w:pPr>
        <w:jc w:val="both"/>
        <w:rPr>
          <w:rFonts w:ascii="Garamond" w:hAnsi="Garamond"/>
          <w:sz w:val="25"/>
          <w:szCs w:val="25"/>
        </w:rPr>
      </w:pPr>
    </w:p>
    <w:p w:rsidR="00BB5E33" w:rsidRPr="00791D08" w:rsidRDefault="00BB5E33" w:rsidP="00177559">
      <w:pPr>
        <w:jc w:val="both"/>
        <w:rPr>
          <w:rFonts w:ascii="Garamond" w:hAnsi="Garamond"/>
          <w:sz w:val="25"/>
          <w:szCs w:val="25"/>
        </w:rPr>
      </w:pPr>
    </w:p>
    <w:p w:rsidR="00177559" w:rsidRPr="00791D08" w:rsidRDefault="00177559">
      <w:pPr>
        <w:jc w:val="both"/>
        <w:rPr>
          <w:rFonts w:ascii="Garamond" w:hAnsi="Garamond"/>
          <w:sz w:val="25"/>
          <w:szCs w:val="25"/>
        </w:rPr>
      </w:pPr>
    </w:p>
    <w:sectPr w:rsidR="00177559" w:rsidRPr="00791D08" w:rsidSect="00614A07">
      <w:headerReference w:type="default" r:id="rId7"/>
      <w:footerReference w:type="default" r:id="rId8"/>
      <w:pgSz w:w="11906" w:h="16838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E51" w:rsidRDefault="00C25E51">
      <w:r>
        <w:separator/>
      </w:r>
    </w:p>
  </w:endnote>
  <w:endnote w:type="continuationSeparator" w:id="0">
    <w:p w:rsidR="00C25E51" w:rsidRDefault="00C2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1EF" w:rsidRDefault="00D823F7" w:rsidP="000A385F">
    <w:pPr>
      <w:pStyle w:val="Pidipagina"/>
      <w:jc w:val="center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5075539E" wp14:editId="4015B01C">
          <wp:simplePos x="0" y="0"/>
          <wp:positionH relativeFrom="column">
            <wp:posOffset>5918835</wp:posOffset>
          </wp:positionH>
          <wp:positionV relativeFrom="paragraph">
            <wp:posOffset>47213</wp:posOffset>
          </wp:positionV>
          <wp:extent cx="467995" cy="467995"/>
          <wp:effectExtent l="0" t="0" r="825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9001_c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1B12089A" wp14:editId="1DE0BB0A">
          <wp:simplePos x="0" y="0"/>
          <wp:positionH relativeFrom="column">
            <wp:posOffset>5539740</wp:posOffset>
          </wp:positionH>
          <wp:positionV relativeFrom="paragraph">
            <wp:posOffset>93757</wp:posOffset>
          </wp:positionV>
          <wp:extent cx="287655" cy="35941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CCREDIA Organizzazioni certificate_150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741FDC" wp14:editId="6EF721B9">
              <wp:simplePos x="0" y="0"/>
              <wp:positionH relativeFrom="column">
                <wp:posOffset>-739140</wp:posOffset>
              </wp:positionH>
              <wp:positionV relativeFrom="paragraph">
                <wp:posOffset>62642</wp:posOffset>
              </wp:positionV>
              <wp:extent cx="7543800" cy="0"/>
              <wp:effectExtent l="0" t="0" r="19050" b="1905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C0504D">
                            <a:lumMod val="100000"/>
                            <a:lumOff val="0"/>
                          </a:srgb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71F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8.2pt;margin-top:4.95pt;width:59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" strokecolor="#c0504d" strokeweight="1pt">
              <v:shadow color="#622423 [1605]" offset="1pt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59824" wp14:editId="323A6024">
              <wp:simplePos x="0" y="0"/>
              <wp:positionH relativeFrom="column">
                <wp:posOffset>794385</wp:posOffset>
              </wp:positionH>
              <wp:positionV relativeFrom="paragraph">
                <wp:posOffset>138430</wp:posOffset>
              </wp:positionV>
              <wp:extent cx="4562475" cy="5524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385F" w:rsidRPr="000A385F" w:rsidRDefault="00D823F7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A.M.E.S. SpA – Società controllata dal Comune di Venezia – Capitale Sociale € 1.029.600 </w:t>
                          </w:r>
                          <w:proofErr w:type="spellStart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i.v</w:t>
                          </w:r>
                          <w:proofErr w:type="spellEnd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1601EF" w:rsidRDefault="00D823F7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30135 VENEZIA Isola Nova del Tronchetto 14, Tel. 04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1 2967200 </w:t>
                          </w:r>
                          <w:proofErr w:type="gramStart"/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-  Fax</w:t>
                          </w:r>
                          <w:proofErr w:type="gramEnd"/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041 2967290 </w:t>
                          </w:r>
                        </w:p>
                        <w:p w:rsidR="000A385F" w:rsidRPr="000A385F" w:rsidRDefault="00D823F7" w:rsidP="000A385F">
                          <w:pPr>
                            <w:pStyle w:val="Pidipagina"/>
                            <w:jc w:val="center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e-mail: </w:t>
                          </w:r>
                          <w:proofErr w:type="gramStart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ames.ve@amesvenezia.it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Cod.</w:t>
                          </w:r>
                          <w:proofErr w:type="gramEnd"/>
                          <w:r w:rsidRPr="000A385F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Fisc., PIVA e Reg. Imprese Venezia 02979860273</w:t>
                          </w:r>
                        </w:p>
                        <w:p w:rsidR="000A385F" w:rsidRDefault="00C25E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98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2.55pt;margin-top:10.9pt;width:359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" filled="f" stroked="f">
              <v:textbox>
                <w:txbxContent>
                  <w:p w:rsidR="000A385F" w:rsidRPr="000A385F" w:rsidRDefault="00D823F7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A.M.E.S. SpA – Società controllata dal Comune di Venezia – Capitale Sociale € 1.029.600 </w:t>
                    </w:r>
                    <w:proofErr w:type="spellStart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i.v</w:t>
                    </w:r>
                    <w:proofErr w:type="spellEnd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  <w:p w:rsidR="001601EF" w:rsidRDefault="00D823F7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30135 VENEZIA Isola Nova del Tronchetto 14, Tel. 04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1 2967200 </w:t>
                    </w:r>
                    <w:proofErr w:type="gramStart"/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-  Fax</w:t>
                    </w:r>
                    <w:proofErr w:type="gramEnd"/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  041 2967290 </w:t>
                    </w:r>
                  </w:p>
                  <w:p w:rsidR="000A385F" w:rsidRPr="000A385F" w:rsidRDefault="00D823F7" w:rsidP="000A385F">
                    <w:pPr>
                      <w:pStyle w:val="Pidipagina"/>
                      <w:jc w:val="center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e-mail: </w:t>
                    </w:r>
                    <w:proofErr w:type="gramStart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ames.ve@amesvenezia.it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  </w:t>
                    </w:r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>Cod.</w:t>
                    </w:r>
                    <w:proofErr w:type="gramEnd"/>
                    <w:r w:rsidRPr="000A385F">
                      <w:rPr>
                        <w:color w:val="808080" w:themeColor="background1" w:themeShade="80"/>
                        <w:sz w:val="18"/>
                        <w:szCs w:val="18"/>
                      </w:rPr>
                      <w:t xml:space="preserve"> Fisc., PIVA e Reg. Imprese Venezia 02979860273</w:t>
                    </w:r>
                  </w:p>
                  <w:p w:rsidR="000A385F" w:rsidRDefault="00801BF1"/>
                </w:txbxContent>
              </v:textbox>
            </v:shape>
          </w:pict>
        </mc:Fallback>
      </mc:AlternateContent>
    </w:r>
  </w:p>
  <w:p w:rsidR="000A385F" w:rsidRDefault="00D823F7" w:rsidP="000A385F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1B2D01" wp14:editId="779A663D">
              <wp:simplePos x="0" y="0"/>
              <wp:positionH relativeFrom="column">
                <wp:posOffset>5883275</wp:posOffset>
              </wp:positionH>
              <wp:positionV relativeFrom="paragraph">
                <wp:posOffset>255493</wp:posOffset>
              </wp:positionV>
              <wp:extent cx="790575" cy="323850"/>
              <wp:effectExtent l="0" t="0" r="0" b="0"/>
              <wp:wrapNone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30AE4" w:rsidRPr="000F53BB" w:rsidRDefault="00D823F7">
                          <w:pPr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</w:pPr>
                          <w:r w:rsidRPr="000F53BB"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  <w:t>Certificato</w:t>
                          </w:r>
                        </w:p>
                        <w:p w:rsidR="00130AE4" w:rsidRPr="000F53BB" w:rsidRDefault="00D823F7">
                          <w:pPr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</w:pPr>
                          <w:r w:rsidRPr="000F53BB">
                            <w:rPr>
                              <w:color w:val="A6A6A6" w:themeColor="background1" w:themeShade="A6"/>
                              <w:sz w:val="10"/>
                              <w:szCs w:val="10"/>
                            </w:rPr>
                            <w:t>N° IT04/0210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1B2D01" id="Casella di testo 6" o:spid="_x0000_s1027" type="#_x0000_t202" style="position:absolute;left:0;text-align:left;margin-left:463.25pt;margin-top:20.1pt;width:62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" o:allowincell="f" filled="f" stroked="f" strokeweight=".5pt">
              <v:textbox>
                <w:txbxContent>
                  <w:p w:rsidR="00130AE4" w:rsidRPr="000F53BB" w:rsidRDefault="00D823F7">
                    <w:pPr>
                      <w:rPr>
                        <w:color w:val="A6A6A6" w:themeColor="background1" w:themeShade="A6"/>
                        <w:sz w:val="10"/>
                        <w:szCs w:val="10"/>
                      </w:rPr>
                    </w:pPr>
                    <w:r w:rsidRPr="000F53BB">
                      <w:rPr>
                        <w:color w:val="A6A6A6" w:themeColor="background1" w:themeShade="A6"/>
                        <w:sz w:val="10"/>
                        <w:szCs w:val="10"/>
                      </w:rPr>
                      <w:t>Certificato</w:t>
                    </w:r>
                  </w:p>
                  <w:p w:rsidR="00130AE4" w:rsidRPr="000F53BB" w:rsidRDefault="00D823F7">
                    <w:pPr>
                      <w:rPr>
                        <w:color w:val="A6A6A6" w:themeColor="background1" w:themeShade="A6"/>
                        <w:sz w:val="10"/>
                        <w:szCs w:val="10"/>
                      </w:rPr>
                    </w:pPr>
                    <w:r w:rsidRPr="000F53BB">
                      <w:rPr>
                        <w:color w:val="A6A6A6" w:themeColor="background1" w:themeShade="A6"/>
                        <w:sz w:val="10"/>
                        <w:szCs w:val="10"/>
                      </w:rPr>
                      <w:t>N° IT04/0210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E51" w:rsidRDefault="00C25E51">
      <w:r>
        <w:separator/>
      </w:r>
    </w:p>
  </w:footnote>
  <w:footnote w:type="continuationSeparator" w:id="0">
    <w:p w:rsidR="00C25E51" w:rsidRDefault="00C25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AE4" w:rsidRDefault="00D823F7" w:rsidP="00130AE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D9B2B3D" wp14:editId="04D6A2EC">
          <wp:simplePos x="0" y="0"/>
          <wp:positionH relativeFrom="column">
            <wp:posOffset>-529590</wp:posOffset>
          </wp:positionH>
          <wp:positionV relativeFrom="paragraph">
            <wp:posOffset>-265207</wp:posOffset>
          </wp:positionV>
          <wp:extent cx="2210400" cy="1080000"/>
          <wp:effectExtent l="0" t="0" r="0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S_AZIENDA_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</w:p>
  <w:p w:rsidR="00130AE4" w:rsidRDefault="00C25E51" w:rsidP="00130AE4">
    <w:pPr>
      <w:pStyle w:val="Intestazione"/>
    </w:pPr>
  </w:p>
  <w:p w:rsidR="00130AE4" w:rsidRDefault="00C25E51" w:rsidP="00130A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0926"/>
    <w:multiLevelType w:val="hybridMultilevel"/>
    <w:tmpl w:val="082CF1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364"/>
    <w:multiLevelType w:val="hybridMultilevel"/>
    <w:tmpl w:val="3B963A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01A5"/>
    <w:multiLevelType w:val="hybridMultilevel"/>
    <w:tmpl w:val="ECB6A5B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8079CD"/>
    <w:multiLevelType w:val="hybridMultilevel"/>
    <w:tmpl w:val="6C8CC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4553A"/>
    <w:multiLevelType w:val="hybridMultilevel"/>
    <w:tmpl w:val="B8728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A3550"/>
    <w:multiLevelType w:val="hybridMultilevel"/>
    <w:tmpl w:val="DC343C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F7"/>
    <w:rsid w:val="00107C86"/>
    <w:rsid w:val="00177559"/>
    <w:rsid w:val="001926B4"/>
    <w:rsid w:val="0021663B"/>
    <w:rsid w:val="00274205"/>
    <w:rsid w:val="002A138A"/>
    <w:rsid w:val="00485758"/>
    <w:rsid w:val="005352BD"/>
    <w:rsid w:val="005C079D"/>
    <w:rsid w:val="00643A4C"/>
    <w:rsid w:val="0067664C"/>
    <w:rsid w:val="006C2CEC"/>
    <w:rsid w:val="00791D08"/>
    <w:rsid w:val="007B4E4A"/>
    <w:rsid w:val="00801BF1"/>
    <w:rsid w:val="00B536FD"/>
    <w:rsid w:val="00BB1855"/>
    <w:rsid w:val="00BB5E33"/>
    <w:rsid w:val="00BD0A44"/>
    <w:rsid w:val="00C25E51"/>
    <w:rsid w:val="00C84A1C"/>
    <w:rsid w:val="00D823F7"/>
    <w:rsid w:val="00DA313C"/>
    <w:rsid w:val="00DB422F"/>
    <w:rsid w:val="00DF45CF"/>
    <w:rsid w:val="00E41CDF"/>
    <w:rsid w:val="00ED3871"/>
    <w:rsid w:val="00EF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BBB1"/>
  <w15:docId w15:val="{69849E8F-D535-496B-8D47-BA6B49EC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823F7"/>
    <w:pPr>
      <w:spacing w:after="0" w:line="240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823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3F7"/>
  </w:style>
  <w:style w:type="paragraph" w:styleId="Pidipagina">
    <w:name w:val="footer"/>
    <w:basedOn w:val="Normale"/>
    <w:link w:val="PidipaginaCarattere"/>
    <w:uiPriority w:val="99"/>
    <w:unhideWhenUsed/>
    <w:rsid w:val="00D823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3F7"/>
  </w:style>
  <w:style w:type="paragraph" w:styleId="Paragrafoelenco">
    <w:name w:val="List Paragraph"/>
    <w:basedOn w:val="Normale"/>
    <w:uiPriority w:val="34"/>
    <w:qFormat/>
    <w:rsid w:val="00D823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13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1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Furtak</dc:creator>
  <cp:lastModifiedBy>Federica Furtak</cp:lastModifiedBy>
  <cp:revision>5</cp:revision>
  <cp:lastPrinted>2020-06-19T08:24:00Z</cp:lastPrinted>
  <dcterms:created xsi:type="dcterms:W3CDTF">2020-06-19T07:26:00Z</dcterms:created>
  <dcterms:modified xsi:type="dcterms:W3CDTF">2020-06-19T08:24:00Z</dcterms:modified>
</cp:coreProperties>
</file>