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F7" w:rsidRPr="00791D08" w:rsidRDefault="00D823F7" w:rsidP="00D823F7">
      <w:pPr>
        <w:rPr>
          <w:rFonts w:ascii="Garamond" w:hAnsi="Garamond" w:cs="Times New Roman"/>
          <w:sz w:val="25"/>
          <w:szCs w:val="25"/>
        </w:rPr>
      </w:pPr>
      <w:proofErr w:type="spellStart"/>
      <w:r w:rsidRPr="00791D08">
        <w:rPr>
          <w:rFonts w:ascii="Garamond" w:hAnsi="Garamond" w:cs="Times New Roman"/>
          <w:sz w:val="25"/>
          <w:szCs w:val="25"/>
        </w:rPr>
        <w:t>Pro</w:t>
      </w:r>
      <w:r w:rsidR="006C2CEC" w:rsidRPr="00791D08">
        <w:rPr>
          <w:rFonts w:ascii="Garamond" w:hAnsi="Garamond" w:cs="Times New Roman"/>
          <w:sz w:val="25"/>
          <w:szCs w:val="25"/>
        </w:rPr>
        <w:t>g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. n. </w:t>
      </w:r>
      <w:r w:rsidR="006C2CEC" w:rsidRPr="00791D08">
        <w:rPr>
          <w:rFonts w:ascii="Garamond" w:hAnsi="Garamond" w:cs="Times New Roman"/>
          <w:sz w:val="25"/>
          <w:szCs w:val="25"/>
        </w:rPr>
        <w:t>0</w:t>
      </w:r>
      <w:r w:rsidR="00791D08" w:rsidRPr="00791D08">
        <w:rPr>
          <w:rFonts w:ascii="Garamond" w:hAnsi="Garamond" w:cs="Times New Roman"/>
          <w:sz w:val="25"/>
          <w:szCs w:val="25"/>
        </w:rPr>
        <w:t>3</w:t>
      </w:r>
      <w:r w:rsidR="007B2B75">
        <w:rPr>
          <w:rFonts w:ascii="Garamond" w:hAnsi="Garamond" w:cs="Times New Roman"/>
          <w:sz w:val="25"/>
          <w:szCs w:val="25"/>
        </w:rPr>
        <w:t>3</w:t>
      </w:r>
      <w:r w:rsidRPr="00791D08">
        <w:rPr>
          <w:rFonts w:ascii="Garamond" w:hAnsi="Garamond" w:cs="Times New Roman"/>
          <w:sz w:val="25"/>
          <w:szCs w:val="25"/>
        </w:rPr>
        <w:t>/</w:t>
      </w:r>
      <w:r w:rsidR="006C2CEC" w:rsidRPr="00791D08">
        <w:rPr>
          <w:rFonts w:ascii="Garamond" w:hAnsi="Garamond" w:cs="Times New Roman"/>
          <w:sz w:val="25"/>
          <w:szCs w:val="25"/>
        </w:rPr>
        <w:t>20</w:t>
      </w:r>
      <w:r w:rsidRPr="00791D08">
        <w:rPr>
          <w:rFonts w:ascii="Garamond" w:hAnsi="Garamond" w:cs="Times New Roman"/>
          <w:sz w:val="25"/>
          <w:szCs w:val="25"/>
        </w:rPr>
        <w:t xml:space="preserve">/ </w:t>
      </w:r>
      <w:r w:rsidR="006C2CEC" w:rsidRPr="00791D08">
        <w:rPr>
          <w:rFonts w:ascii="Garamond" w:hAnsi="Garamond" w:cs="Times New Roman"/>
          <w:sz w:val="25"/>
          <w:szCs w:val="25"/>
        </w:rPr>
        <w:t>DG</w:t>
      </w:r>
      <w:r w:rsidRPr="00791D08">
        <w:rPr>
          <w:rFonts w:ascii="Garamond" w:hAnsi="Garamond" w:cs="Times New Roman"/>
          <w:sz w:val="25"/>
          <w:szCs w:val="25"/>
        </w:rPr>
        <w:t>/</w:t>
      </w:r>
      <w:r w:rsidR="006C2CEC" w:rsidRPr="00791D08">
        <w:rPr>
          <w:rFonts w:ascii="Garamond" w:hAnsi="Garamond" w:cs="Times New Roman"/>
          <w:sz w:val="25"/>
          <w:szCs w:val="25"/>
        </w:rPr>
        <w:t>UCM/FF</w:t>
      </w:r>
    </w:p>
    <w:p w:rsidR="00D823F7" w:rsidRPr="00791D08" w:rsidRDefault="00D823F7" w:rsidP="00D823F7">
      <w:pPr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 xml:space="preserve">Venezia </w:t>
      </w:r>
      <w:r w:rsidR="00791D08">
        <w:rPr>
          <w:rFonts w:ascii="Garamond" w:hAnsi="Garamond" w:cs="Times New Roman"/>
          <w:sz w:val="25"/>
          <w:szCs w:val="25"/>
        </w:rPr>
        <w:t>12 giugno</w:t>
      </w:r>
      <w:r w:rsidR="006C2CEC" w:rsidRPr="00791D08">
        <w:rPr>
          <w:rFonts w:ascii="Garamond" w:hAnsi="Garamond" w:cs="Times New Roman"/>
          <w:sz w:val="25"/>
          <w:szCs w:val="25"/>
        </w:rPr>
        <w:t xml:space="preserve"> 2020</w:t>
      </w:r>
    </w:p>
    <w:p w:rsidR="00D823F7" w:rsidRPr="00791D08" w:rsidRDefault="00D823F7" w:rsidP="00D823F7">
      <w:pPr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D823F7">
      <w:pPr>
        <w:rPr>
          <w:rFonts w:ascii="Garamond" w:hAnsi="Garamond" w:cs="Times New Roman"/>
          <w:b/>
          <w:sz w:val="25"/>
          <w:szCs w:val="25"/>
        </w:rPr>
      </w:pPr>
    </w:p>
    <w:p w:rsidR="005C079D" w:rsidRDefault="005C079D" w:rsidP="00D823F7">
      <w:pPr>
        <w:rPr>
          <w:rFonts w:ascii="Garamond" w:hAnsi="Garamond" w:cs="Times New Roman"/>
          <w:b/>
          <w:sz w:val="25"/>
          <w:szCs w:val="25"/>
        </w:rPr>
      </w:pPr>
    </w:p>
    <w:p w:rsidR="00D823F7" w:rsidRPr="00791D08" w:rsidRDefault="00D823F7" w:rsidP="00D823F7">
      <w:pPr>
        <w:rPr>
          <w:rFonts w:ascii="Garamond" w:hAnsi="Garamond" w:cs="Times New Roman"/>
          <w:b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Oggetto: Proposta di determina a contrarre e affidamento</w:t>
      </w:r>
    </w:p>
    <w:p w:rsidR="00D823F7" w:rsidRPr="00791D08" w:rsidRDefault="00D823F7" w:rsidP="00D823F7">
      <w:pPr>
        <w:rPr>
          <w:rFonts w:ascii="Garamond" w:hAnsi="Garamond" w:cs="Times New Roman"/>
          <w:sz w:val="25"/>
          <w:szCs w:val="25"/>
        </w:rPr>
      </w:pPr>
    </w:p>
    <w:p w:rsidR="00DA313C" w:rsidRDefault="00DA313C" w:rsidP="00DA313C">
      <w:pPr>
        <w:ind w:right="-1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Richiamate</w:t>
      </w:r>
      <w:r>
        <w:rPr>
          <w:rFonts w:ascii="Garamond" w:hAnsi="Garamond"/>
          <w:sz w:val="25"/>
          <w:szCs w:val="25"/>
        </w:rPr>
        <w:t xml:space="preserve"> le deliberazioni Assembleari del 29/11/2017 e del 16/10/2018 con cui è stato conferito e successivamente con</w:t>
      </w:r>
      <w:bookmarkStart w:id="0" w:name="_GoBack"/>
      <w:bookmarkEnd w:id="0"/>
      <w:r>
        <w:rPr>
          <w:rFonts w:ascii="Garamond" w:hAnsi="Garamond"/>
          <w:sz w:val="25"/>
          <w:szCs w:val="25"/>
        </w:rPr>
        <w:t>fermato l’incarico di Direttore Generale al Dott. Nicola Cattozzo fino al 30 settembre 2020;</w:t>
      </w:r>
    </w:p>
    <w:p w:rsidR="00DA313C" w:rsidRDefault="00DA313C" w:rsidP="00177559">
      <w:pPr>
        <w:jc w:val="both"/>
        <w:rPr>
          <w:rFonts w:ascii="Garamond" w:hAnsi="Garamond" w:cs="Times New Roman"/>
          <w:b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ATTESO che</w:t>
      </w:r>
      <w:r w:rsidRPr="00791D08">
        <w:rPr>
          <w:rFonts w:ascii="Garamond" w:hAnsi="Garamond" w:cs="Times New Roman"/>
          <w:sz w:val="25"/>
          <w:szCs w:val="25"/>
        </w:rPr>
        <w:t xml:space="preserve"> A.M.E.S. S.p.A. ha necessità di </w:t>
      </w:r>
      <w:r w:rsidR="00791D08">
        <w:rPr>
          <w:rFonts w:ascii="Garamond" w:hAnsi="Garamond" w:cs="Times New Roman"/>
          <w:sz w:val="25"/>
          <w:szCs w:val="25"/>
        </w:rPr>
        <w:t>essere supportata nelle attività di Gestione del Sistema qualità UNI EN ISO 9001:2015 ed in particolare nelle attività di analisi dei fattori di contesto, valutazione dei rischi e delle opportunità correlate al contesto rilevato, nella definizione, pianificazione e monitoraggio delle azioni di risposta ai rischi e alle opportunità aziendali individuate</w:t>
      </w:r>
      <w:r w:rsidRPr="00791D08">
        <w:rPr>
          <w:rFonts w:ascii="Garamond" w:hAnsi="Garamond" w:cs="Times New Roman"/>
          <w:sz w:val="25"/>
          <w:szCs w:val="25"/>
        </w:rPr>
        <w:t>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ATTESO che</w:t>
      </w:r>
      <w:r w:rsidRPr="00791D08">
        <w:rPr>
          <w:rFonts w:ascii="Garamond" w:hAnsi="Garamond" w:cs="Times New Roman"/>
          <w:sz w:val="25"/>
          <w:szCs w:val="25"/>
        </w:rPr>
        <w:t xml:space="preserve"> ai sensi dell’articolo 32, comma 2, del D. Lgs. 50/2016: </w:t>
      </w:r>
    </w:p>
    <w:p w:rsidR="005352BD" w:rsidRDefault="00D823F7" w:rsidP="005352BD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 w:rsidRPr="00791D08">
        <w:rPr>
          <w:rFonts w:ascii="Garamond" w:hAnsi="Garamond"/>
          <w:bCs/>
          <w:sz w:val="25"/>
          <w:szCs w:val="25"/>
        </w:rPr>
        <w:t xml:space="preserve">Il fine del contratto è quello di provvedere all’affidamento di un servizio che consenta </w:t>
      </w:r>
      <w:r w:rsidR="005352BD">
        <w:rPr>
          <w:rFonts w:ascii="Garamond" w:hAnsi="Garamond"/>
          <w:bCs/>
          <w:sz w:val="25"/>
          <w:szCs w:val="25"/>
        </w:rPr>
        <w:t>un miglioramento della qualità aziendale anche ai fini del mantenimento della certificazione presso l’Ente</w:t>
      </w:r>
      <w:r w:rsidRPr="00791D08">
        <w:rPr>
          <w:rFonts w:ascii="Garamond" w:hAnsi="Garamond"/>
          <w:bCs/>
          <w:sz w:val="25"/>
          <w:szCs w:val="25"/>
        </w:rPr>
        <w:t>;</w:t>
      </w:r>
    </w:p>
    <w:p w:rsidR="005352BD" w:rsidRPr="005352BD" w:rsidRDefault="005352BD" w:rsidP="005352BD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 w:rsidRPr="005352BD">
        <w:rPr>
          <w:rFonts w:ascii="Garamond" w:hAnsi="Garamond"/>
          <w:bCs/>
          <w:sz w:val="25"/>
          <w:szCs w:val="25"/>
        </w:rPr>
        <w:t xml:space="preserve">L’oggetto del contratto è il servizio di </w:t>
      </w:r>
      <w:r w:rsidRPr="005352BD">
        <w:rPr>
          <w:rFonts w:ascii="Garamond" w:hAnsi="Garamond" w:cs="Times New Roman"/>
          <w:sz w:val="25"/>
          <w:szCs w:val="25"/>
        </w:rPr>
        <w:t>analisi dei fattori di contesto, valutazione dei rischi e delle opportunità correlate al contesto rilevato, nella definizione, pianificazione e monitoraggio delle azioni di risposta ai rischi e alle opportunità aziendali individuate</w:t>
      </w:r>
      <w:r>
        <w:rPr>
          <w:rFonts w:ascii="Garamond" w:hAnsi="Garamond" w:cs="Times New Roman"/>
          <w:sz w:val="25"/>
          <w:szCs w:val="25"/>
        </w:rPr>
        <w:t>, la formazione specifica del personale in materia di qualità e l’assistenza durante l’Audit</w:t>
      </w:r>
    </w:p>
    <w:p w:rsidR="00D823F7" w:rsidRPr="00791D08" w:rsidRDefault="00D823F7" w:rsidP="00177559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 w:rsidRPr="00791D08">
        <w:rPr>
          <w:rFonts w:ascii="Garamond" w:hAnsi="Garamond"/>
          <w:bCs/>
          <w:sz w:val="25"/>
          <w:szCs w:val="25"/>
        </w:rPr>
        <w:t xml:space="preserve">La durata del contratto è stabilita in </w:t>
      </w:r>
      <w:r w:rsidR="005352BD">
        <w:rPr>
          <w:rFonts w:ascii="Garamond" w:hAnsi="Garamond"/>
          <w:bCs/>
          <w:sz w:val="25"/>
          <w:szCs w:val="25"/>
        </w:rPr>
        <w:t>136 ore (indicativamente 20 giorni lavorativi)</w:t>
      </w:r>
      <w:r w:rsidRPr="00791D08">
        <w:rPr>
          <w:rFonts w:ascii="Garamond" w:hAnsi="Garamond"/>
          <w:bCs/>
          <w:sz w:val="25"/>
          <w:szCs w:val="25"/>
        </w:rPr>
        <w:t>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VISTO</w:t>
      </w:r>
      <w:r w:rsidRPr="00791D08">
        <w:rPr>
          <w:rFonts w:ascii="Garamond" w:hAnsi="Garamond" w:cs="Times New Roman"/>
          <w:sz w:val="25"/>
          <w:szCs w:val="25"/>
        </w:rPr>
        <w:t xml:space="preserve"> il </w:t>
      </w:r>
      <w:proofErr w:type="spellStart"/>
      <w:r w:rsidRPr="00791D08">
        <w:rPr>
          <w:rFonts w:ascii="Garamond" w:hAnsi="Garamond" w:cs="Times New Roman"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 50/2016, art. 36, comma 2: </w:t>
      </w:r>
      <w:r w:rsidRPr="00791D08">
        <w:rPr>
          <w:rFonts w:ascii="Garamond" w:hAnsi="Garamond"/>
          <w:bCs/>
          <w:sz w:val="25"/>
          <w:szCs w:val="25"/>
        </w:rPr>
        <w:t>«</w:t>
      </w:r>
      <w:r w:rsidRPr="00791D08">
        <w:rPr>
          <w:rFonts w:ascii="Garamond" w:hAnsi="Garamond" w:cs="Times New Roman"/>
          <w:sz w:val="25"/>
          <w:szCs w:val="25"/>
        </w:rPr>
        <w:t xml:space="preserve">le stazioni appaltanti procedono all’affidamento di lavori, servizi e forniture di importo inferiore alle soglie di cui all’articolo 35, secondo le seguenti modalità: </w:t>
      </w:r>
      <w:r w:rsidRPr="00791D08">
        <w:rPr>
          <w:rFonts w:ascii="Garamond" w:hAnsi="Garamond" w:cs="Times New Roman"/>
          <w:i/>
          <w:sz w:val="25"/>
          <w:szCs w:val="25"/>
        </w:rPr>
        <w:t>a)</w:t>
      </w:r>
      <w:r w:rsidRPr="00791D08">
        <w:rPr>
          <w:rFonts w:ascii="Garamond" w:hAnsi="Garamond" w:cs="Times New Roman"/>
          <w:sz w:val="25"/>
          <w:szCs w:val="25"/>
        </w:rPr>
        <w:t xml:space="preserve"> per affidamenti di importo inferiore a 40.000 euro, mediante affidamento diretto, adeguatamente motivato</w:t>
      </w:r>
      <w:r w:rsidRPr="00791D08">
        <w:rPr>
          <w:rFonts w:ascii="Garamond" w:hAnsi="Garamond"/>
          <w:bCs/>
          <w:sz w:val="25"/>
          <w:szCs w:val="25"/>
        </w:rPr>
        <w:t>»;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VISTO</w:t>
      </w:r>
      <w:r w:rsidRPr="00791D08">
        <w:rPr>
          <w:rFonts w:ascii="Garamond" w:hAnsi="Garamond" w:cs="Times New Roman"/>
          <w:sz w:val="25"/>
          <w:szCs w:val="25"/>
        </w:rPr>
        <w:t xml:space="preserve"> </w:t>
      </w:r>
      <w:hyperlink r:id="rId7" w:history="1">
        <w:r w:rsidRPr="00791D08">
          <w:rPr>
            <w:rFonts w:ascii="Garamond" w:eastAsia="Calibri" w:hAnsi="Garamond" w:cs="Times New Roman"/>
            <w:bCs/>
            <w:color w:val="0563C1"/>
            <w:sz w:val="25"/>
            <w:szCs w:val="25"/>
            <w:u w:val="single"/>
          </w:rPr>
          <w:t>Cons. Stato, commissione speciale, parere 13 settembre 2016, n. 1903/2016</w:t>
        </w:r>
      </w:hyperlink>
      <w:r w:rsidRPr="00791D08">
        <w:rPr>
          <w:rFonts w:ascii="Garamond" w:hAnsi="Garamond" w:cs="Times New Roman"/>
          <w:sz w:val="25"/>
          <w:szCs w:val="25"/>
        </w:rPr>
        <w:t xml:space="preserve">, ha ritenuto che la determinazione a contrattare, a differenza delle procedure negoziate di cui al </w:t>
      </w:r>
      <w:proofErr w:type="spellStart"/>
      <w:r w:rsidRPr="00791D08">
        <w:rPr>
          <w:rFonts w:ascii="Garamond" w:hAnsi="Garamond" w:cs="Times New Roman"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 50/2016, art. 36, comma 2, lett, da </w:t>
      </w:r>
      <w:r w:rsidRPr="00791D08">
        <w:rPr>
          <w:rFonts w:ascii="Garamond" w:hAnsi="Garamond" w:cs="Times New Roman"/>
          <w:i/>
          <w:sz w:val="25"/>
          <w:szCs w:val="25"/>
        </w:rPr>
        <w:t>b)</w:t>
      </w:r>
      <w:r w:rsidRPr="00791D08">
        <w:rPr>
          <w:rFonts w:ascii="Garamond" w:hAnsi="Garamond" w:cs="Times New Roman"/>
          <w:sz w:val="25"/>
          <w:szCs w:val="25"/>
        </w:rPr>
        <w:t xml:space="preserve"> a </w:t>
      </w:r>
      <w:r w:rsidRPr="00791D08">
        <w:rPr>
          <w:rFonts w:ascii="Garamond" w:hAnsi="Garamond" w:cs="Times New Roman"/>
          <w:i/>
          <w:sz w:val="25"/>
          <w:szCs w:val="25"/>
        </w:rPr>
        <w:t>c)</w:t>
      </w:r>
      <w:r w:rsidRPr="00791D08">
        <w:rPr>
          <w:rFonts w:ascii="Garamond" w:hAnsi="Garamond" w:cs="Times New Roman"/>
          <w:sz w:val="25"/>
          <w:szCs w:val="25"/>
        </w:rPr>
        <w:t>, possa essere unica e che quindi possa contestualmente sia riepilogare l’</w:t>
      </w:r>
      <w:r w:rsidRPr="00791D08">
        <w:rPr>
          <w:rFonts w:ascii="Garamond" w:hAnsi="Garamond" w:cs="Times New Roman"/>
          <w:i/>
          <w:sz w:val="25"/>
          <w:szCs w:val="25"/>
        </w:rPr>
        <w:t>iter</w:t>
      </w:r>
      <w:r w:rsidRPr="00791D08">
        <w:rPr>
          <w:rFonts w:ascii="Garamond" w:hAnsi="Garamond" w:cs="Times New Roman"/>
          <w:sz w:val="25"/>
          <w:szCs w:val="25"/>
        </w:rPr>
        <w:t xml:space="preserve"> motivazionale seguito per la scelta del contraente rispetto alle evidenziate necessità della Società, sia recare l’efficace definitiva aggiudicazione, tutto ciò anche nella </w:t>
      </w:r>
      <w:r w:rsidRPr="00791D08">
        <w:rPr>
          <w:rFonts w:ascii="Garamond" w:hAnsi="Garamond" w:cs="Times New Roman"/>
          <w:i/>
          <w:sz w:val="25"/>
          <w:szCs w:val="25"/>
        </w:rPr>
        <w:t>ratio</w:t>
      </w:r>
      <w:r w:rsidRPr="00791D08">
        <w:rPr>
          <w:rFonts w:ascii="Garamond" w:hAnsi="Garamond" w:cs="Times New Roman"/>
          <w:sz w:val="25"/>
          <w:szCs w:val="25"/>
        </w:rPr>
        <w:t xml:space="preserve"> di semplificazione e nel collegato principio di libertà delle forme che connotano l’</w:t>
      </w:r>
      <w:r w:rsidRPr="00791D08">
        <w:rPr>
          <w:rFonts w:ascii="Garamond" w:eastAsia="Times New Roman" w:hAnsi="Garamond" w:cs="Times New Roman"/>
          <w:bCs/>
          <w:iCs/>
          <w:color w:val="000000"/>
          <w:sz w:val="25"/>
          <w:szCs w:val="25"/>
          <w:lang w:eastAsia="it-IT"/>
        </w:rPr>
        <w:t>«affidamento diretto»;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CONSIDERATO</w:t>
      </w:r>
      <w:r w:rsidRPr="00791D08">
        <w:rPr>
          <w:rFonts w:ascii="Garamond" w:hAnsi="Garamond" w:cs="Times New Roman"/>
          <w:sz w:val="25"/>
          <w:szCs w:val="25"/>
        </w:rPr>
        <w:t xml:space="preserve"> che il richiamato D. Lgs. 50/2016, art. 36, comma 2, lett. </w:t>
      </w:r>
      <w:r w:rsidRPr="00791D08">
        <w:rPr>
          <w:rFonts w:ascii="Garamond" w:hAnsi="Garamond" w:cs="Times New Roman"/>
          <w:i/>
          <w:sz w:val="25"/>
          <w:szCs w:val="25"/>
        </w:rPr>
        <w:t>a)</w:t>
      </w:r>
      <w:r w:rsidRPr="00791D08">
        <w:rPr>
          <w:rFonts w:ascii="Garamond" w:hAnsi="Garamond" w:cs="Times New Roman"/>
          <w:sz w:val="25"/>
          <w:szCs w:val="25"/>
        </w:rPr>
        <w:t>, dà attuazione normativa al principio secondo cui per importi d’affidamento inferiori alla soglia comunitaria, laddove ricorra «un valore economico molto limitato» (</w:t>
      </w:r>
      <w:hyperlink r:id="rId8" w:history="1">
        <w:r w:rsidRPr="00791D08">
          <w:rPr>
            <w:rFonts w:ascii="Garamond" w:hAnsi="Garamond" w:cs="Times New Roman"/>
            <w:color w:val="0000FF" w:themeColor="hyperlink"/>
            <w:sz w:val="25"/>
            <w:szCs w:val="25"/>
            <w:u w:val="single"/>
          </w:rPr>
          <w:t xml:space="preserve">Comunicazione interpretativa della Commissione, G.U.U.E., 1° agosto 2006, C/179, </w:t>
        </w:r>
        <w:proofErr w:type="spellStart"/>
        <w:r w:rsidRPr="00791D08">
          <w:rPr>
            <w:rFonts w:ascii="Garamond" w:hAnsi="Garamond" w:cs="Times New Roman"/>
            <w:color w:val="0000FF" w:themeColor="hyperlink"/>
            <w:sz w:val="25"/>
            <w:szCs w:val="25"/>
            <w:u w:val="single"/>
          </w:rPr>
          <w:t>sottoparagrafo</w:t>
        </w:r>
        <w:proofErr w:type="spellEnd"/>
        <w:r w:rsidRPr="00791D08">
          <w:rPr>
            <w:rFonts w:ascii="Garamond" w:hAnsi="Garamond" w:cs="Times New Roman"/>
            <w:color w:val="0000FF" w:themeColor="hyperlink"/>
            <w:sz w:val="25"/>
            <w:szCs w:val="25"/>
            <w:u w:val="single"/>
          </w:rPr>
          <w:t xml:space="preserve"> 1.3.</w:t>
        </w:r>
      </w:hyperlink>
      <w:r w:rsidRPr="00791D08">
        <w:rPr>
          <w:rFonts w:ascii="Garamond" w:hAnsi="Garamond" w:cs="Times New Roman"/>
          <w:sz w:val="25"/>
          <w:szCs w:val="25"/>
        </w:rPr>
        <w:t xml:space="preserve">), non occorre che sia comunque garantito il rispetto del principio della concorrenza per il mercato, richiesto invece per le procedure negoziate di cui al </w:t>
      </w:r>
      <w:proofErr w:type="spellStart"/>
      <w:r w:rsidRPr="00791D08">
        <w:rPr>
          <w:rFonts w:ascii="Garamond" w:hAnsi="Garamond" w:cs="Times New Roman"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 50/2016, art. 36, comma 2, lett, da </w:t>
      </w:r>
      <w:r w:rsidRPr="00791D08">
        <w:rPr>
          <w:rFonts w:ascii="Garamond" w:hAnsi="Garamond" w:cs="Times New Roman"/>
          <w:i/>
          <w:sz w:val="25"/>
          <w:szCs w:val="25"/>
        </w:rPr>
        <w:t>b)</w:t>
      </w:r>
      <w:r w:rsidRPr="00791D08">
        <w:rPr>
          <w:rFonts w:ascii="Garamond" w:hAnsi="Garamond" w:cs="Times New Roman"/>
          <w:sz w:val="25"/>
          <w:szCs w:val="25"/>
        </w:rPr>
        <w:t xml:space="preserve"> a </w:t>
      </w:r>
      <w:r w:rsidRPr="00791D08">
        <w:rPr>
          <w:rFonts w:ascii="Garamond" w:hAnsi="Garamond" w:cs="Times New Roman"/>
          <w:i/>
          <w:sz w:val="25"/>
          <w:szCs w:val="25"/>
        </w:rPr>
        <w:t>c)</w:t>
      </w:r>
      <w:r w:rsidRPr="00791D08">
        <w:rPr>
          <w:rFonts w:ascii="Garamond" w:hAnsi="Garamond" w:cs="Times New Roman"/>
          <w:sz w:val="25"/>
          <w:szCs w:val="25"/>
        </w:rPr>
        <w:t xml:space="preserve">; 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lastRenderedPageBreak/>
        <w:t>CONSIDERATO</w:t>
      </w:r>
      <w:r w:rsidRPr="00791D08">
        <w:rPr>
          <w:rFonts w:ascii="Garamond" w:hAnsi="Garamond" w:cs="Times New Roman"/>
          <w:sz w:val="25"/>
          <w:szCs w:val="25"/>
        </w:rPr>
        <w:t xml:space="preserve"> comunque che nella fattispecie non ricorre </w:t>
      </w:r>
      <w:r w:rsidRPr="00791D08">
        <w:rPr>
          <w:rFonts w:ascii="Garamond" w:eastAsia="Times New Roman" w:hAnsi="Garamond" w:cs="Times New Roman"/>
          <w:bCs/>
          <w:iCs/>
          <w:color w:val="000000"/>
          <w:sz w:val="25"/>
          <w:szCs w:val="25"/>
          <w:lang w:eastAsia="it-IT"/>
        </w:rPr>
        <w:t>«</w:t>
      </w:r>
      <w:r w:rsidRPr="00791D08">
        <w:rPr>
          <w:rFonts w:ascii="Garamond" w:hAnsi="Garamond" w:cs="Times New Roman"/>
          <w:sz w:val="25"/>
          <w:szCs w:val="25"/>
        </w:rPr>
        <w:t>un interesse transfrontaliero certo in conformità ai criteri elaborati dalla Corte di Giustizia</w:t>
      </w:r>
      <w:r w:rsidRPr="00791D08">
        <w:rPr>
          <w:rFonts w:ascii="Garamond" w:eastAsia="Times New Roman" w:hAnsi="Garamond" w:cs="Times New Roman"/>
          <w:bCs/>
          <w:iCs/>
          <w:color w:val="000000"/>
          <w:sz w:val="25"/>
          <w:szCs w:val="25"/>
          <w:lang w:eastAsia="it-IT"/>
        </w:rPr>
        <w:t>»</w:t>
      </w:r>
      <w:r w:rsidRPr="00791D08">
        <w:rPr>
          <w:rFonts w:ascii="Garamond" w:hAnsi="Garamond" w:cs="Times New Roman"/>
          <w:sz w:val="25"/>
          <w:szCs w:val="25"/>
        </w:rPr>
        <w:t xml:space="preserve"> (ANAC, linee guida n. 4, paragrafo 1.5, in </w:t>
      </w:r>
      <w:hyperlink r:id="rId9" w:history="1">
        <w:r w:rsidRPr="00791D08">
          <w:rPr>
            <w:rFonts w:ascii="Garamond" w:hAnsi="Garamond" w:cs="Times New Roman"/>
            <w:i/>
            <w:color w:val="0000FF" w:themeColor="hyperlink"/>
            <w:sz w:val="25"/>
            <w:szCs w:val="25"/>
            <w:u w:val="single"/>
          </w:rPr>
          <w:t>G.U.</w:t>
        </w:r>
        <w:r w:rsidRPr="00791D08">
          <w:rPr>
            <w:rFonts w:ascii="Garamond" w:hAnsi="Garamond" w:cs="Times New Roman"/>
            <w:color w:val="0000FF" w:themeColor="hyperlink"/>
            <w:sz w:val="25"/>
            <w:szCs w:val="25"/>
            <w:u w:val="single"/>
          </w:rPr>
          <w:t xml:space="preserve"> 23 novembre 2016, n. 274</w:t>
        </w:r>
      </w:hyperlink>
      <w:r w:rsidRPr="00791D08">
        <w:rPr>
          <w:rFonts w:ascii="Garamond" w:hAnsi="Garamond" w:cs="Times New Roman"/>
          <w:sz w:val="25"/>
          <w:szCs w:val="25"/>
        </w:rPr>
        <w:t xml:space="preserve">); 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274205" w:rsidRPr="00791D08" w:rsidRDefault="00274205" w:rsidP="00177559">
      <w:pPr>
        <w:jc w:val="both"/>
        <w:rPr>
          <w:rFonts w:ascii="Garamond" w:hAnsi="Garamond" w:cs="Times New Roman"/>
          <w:b/>
          <w:sz w:val="25"/>
          <w:szCs w:val="25"/>
        </w:rPr>
      </w:pPr>
    </w:p>
    <w:p w:rsidR="00D823F7" w:rsidRPr="00791D08" w:rsidRDefault="00177559" w:rsidP="00177559">
      <w:pPr>
        <w:spacing w:after="240"/>
        <w:jc w:val="both"/>
        <w:rPr>
          <w:rFonts w:ascii="Garamond" w:hAnsi="Garamond" w:cs="Times New Roman"/>
          <w:b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ATTESO</w:t>
      </w:r>
      <w:r w:rsidR="00D823F7" w:rsidRPr="00791D08">
        <w:rPr>
          <w:rFonts w:ascii="Garamond" w:hAnsi="Garamond" w:cs="Times New Roman"/>
          <w:b/>
          <w:sz w:val="25"/>
          <w:szCs w:val="25"/>
        </w:rPr>
        <w:t xml:space="preserve"> che:</w:t>
      </w:r>
    </w:p>
    <w:p w:rsidR="00D823F7" w:rsidRPr="00791D08" w:rsidRDefault="00D823F7" w:rsidP="001775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>va comunque garantito l’interesse-dovere di A.M.E.S. S.p.A. alla convenienza economica nell’acquisizione di una prestazione a titolo oneroso;</w:t>
      </w:r>
    </w:p>
    <w:p w:rsidR="00D823F7" w:rsidRPr="00791D08" w:rsidRDefault="00D823F7" w:rsidP="001775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>la dovuta rilevanza di questo principio gioca su un piano diverso da quello della garanzia del principio concorrenziale, nel senso che il principio della convenienza può comunque essere garantito, anzi, a maggior ragione deve essere garantito proprio perché non c’è gara aperta a ogni possibile operatore economico;</w:t>
      </w:r>
    </w:p>
    <w:p w:rsidR="00D823F7" w:rsidRPr="00791D08" w:rsidRDefault="00D823F7" w:rsidP="0017755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Garamond" w:hAnsi="Garamond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>pur affermando il codice che l’</w:t>
      </w:r>
      <w:r w:rsidRPr="00791D08">
        <w:rPr>
          <w:rFonts w:ascii="Garamond" w:hAnsi="Garamond"/>
          <w:bCs/>
          <w:sz w:val="25"/>
          <w:szCs w:val="25"/>
        </w:rPr>
        <w:t>«affidamento di lavori, servizi e forniture di importo inferiore alle soglie di cui all’articolo 35 avvengono nel rispetto dei principi di cui all’art. 30, comma 1», cioè dei principi fondamentali del Trattato (</w:t>
      </w:r>
      <w:proofErr w:type="spellStart"/>
      <w:r w:rsidRPr="00791D08">
        <w:rPr>
          <w:rFonts w:ascii="Garamond" w:hAnsi="Garamond"/>
          <w:bCs/>
          <w:sz w:val="25"/>
          <w:szCs w:val="25"/>
        </w:rPr>
        <w:t>D.Lgs.</w:t>
      </w:r>
      <w:proofErr w:type="spellEnd"/>
      <w:r w:rsidRPr="00791D08">
        <w:rPr>
          <w:rFonts w:ascii="Garamond" w:hAnsi="Garamond"/>
          <w:bCs/>
          <w:sz w:val="25"/>
          <w:szCs w:val="25"/>
        </w:rPr>
        <w:t xml:space="preserve"> 50/2016, art. 36, comma 1), </w:t>
      </w:r>
      <w:r w:rsidRPr="00791D08">
        <w:rPr>
          <w:rFonts w:ascii="Garamond" w:hAnsi="Garamond" w:cs="Times New Roman"/>
          <w:sz w:val="25"/>
          <w:szCs w:val="25"/>
        </w:rPr>
        <w:t xml:space="preserve">la scelta del contraente non è però qui da assoggettarsi all’aggravamento procedurale </w:t>
      </w:r>
      <w:proofErr w:type="gramStart"/>
      <w:r w:rsidRPr="00791D08">
        <w:rPr>
          <w:rFonts w:ascii="Garamond" w:hAnsi="Garamond" w:cs="Times New Roman"/>
          <w:i/>
          <w:sz w:val="25"/>
          <w:szCs w:val="25"/>
        </w:rPr>
        <w:t>pro concorrenziale</w:t>
      </w:r>
      <w:proofErr w:type="gramEnd"/>
      <w:r w:rsidRPr="00791D08">
        <w:rPr>
          <w:rFonts w:ascii="Garamond" w:hAnsi="Garamond" w:cs="Times New Roman"/>
          <w:sz w:val="25"/>
          <w:szCs w:val="25"/>
        </w:rPr>
        <w:t xml:space="preserve"> previsto invece dalla lett. </w:t>
      </w:r>
      <w:r w:rsidRPr="00791D08">
        <w:rPr>
          <w:rFonts w:ascii="Garamond" w:hAnsi="Garamond" w:cs="Times New Roman"/>
          <w:i/>
          <w:sz w:val="25"/>
          <w:szCs w:val="25"/>
        </w:rPr>
        <w:t xml:space="preserve">b) </w:t>
      </w:r>
      <w:r w:rsidRPr="00791D08">
        <w:rPr>
          <w:rFonts w:ascii="Garamond" w:hAnsi="Garamond" w:cs="Times New Roman"/>
          <w:sz w:val="25"/>
          <w:szCs w:val="25"/>
        </w:rPr>
        <w:t xml:space="preserve">del comma 2 del medesimo art. 36 del </w:t>
      </w:r>
      <w:proofErr w:type="spellStart"/>
      <w:r w:rsidRPr="00791D08">
        <w:rPr>
          <w:rFonts w:ascii="Garamond" w:hAnsi="Garamond" w:cs="Times New Roman"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 50/2016 </w:t>
      </w:r>
      <w:r w:rsidRPr="00791D08">
        <w:rPr>
          <w:rFonts w:ascii="Garamond" w:hAnsi="Garamond"/>
          <w:bCs/>
          <w:sz w:val="25"/>
          <w:szCs w:val="25"/>
        </w:rPr>
        <w:t xml:space="preserve">e tutto ciò in quanto l’«affidamento diretto» costituisce proprio l’eccezione oggettiva rispetto alla suddetta regola </w:t>
      </w:r>
      <w:proofErr w:type="gramStart"/>
      <w:r w:rsidRPr="00791D08">
        <w:rPr>
          <w:rFonts w:ascii="Garamond" w:hAnsi="Garamond"/>
          <w:bCs/>
          <w:i/>
          <w:sz w:val="25"/>
          <w:szCs w:val="25"/>
        </w:rPr>
        <w:t>pro concorrenziale</w:t>
      </w:r>
      <w:proofErr w:type="gramEnd"/>
      <w:r w:rsidRPr="00791D08">
        <w:rPr>
          <w:rFonts w:ascii="Garamond" w:hAnsi="Garamond"/>
          <w:bCs/>
          <w:sz w:val="25"/>
          <w:szCs w:val="25"/>
        </w:rPr>
        <w:t>;</w:t>
      </w:r>
    </w:p>
    <w:p w:rsidR="00D823F7" w:rsidRPr="00791D08" w:rsidRDefault="00D823F7" w:rsidP="00177559">
      <w:pPr>
        <w:jc w:val="both"/>
        <w:rPr>
          <w:rFonts w:ascii="Garamond" w:hAnsi="Garamond"/>
          <w:bCs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/>
          <w:bCs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ATTESO</w:t>
      </w:r>
      <w:r w:rsidRPr="00791D08">
        <w:rPr>
          <w:rFonts w:ascii="Garamond" w:hAnsi="Garamond" w:cs="Times New Roman"/>
          <w:sz w:val="25"/>
          <w:szCs w:val="25"/>
        </w:rPr>
        <w:t xml:space="preserve"> che l’individuazione degli operatori economici avviene secondo uno di due criteri motivazionali di fondo, anche in possibile combinazione fra di loro, e cioè: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pStyle w:val="Paragrafoelenco"/>
        <w:numPr>
          <w:ilvl w:val="0"/>
          <w:numId w:val="5"/>
        </w:num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 xml:space="preserve">in base al canone della “passata esperienza”, per aver precedentemente l’operatore economico proceduto correttamente alla prestazione del servizio; </w:t>
      </w:r>
    </w:p>
    <w:p w:rsidR="00D823F7" w:rsidRPr="00791D08" w:rsidRDefault="00D823F7" w:rsidP="00177559">
      <w:pPr>
        <w:pStyle w:val="Paragrafoelenco"/>
        <w:numPr>
          <w:ilvl w:val="0"/>
          <w:numId w:val="5"/>
        </w:num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Cs/>
          <w:sz w:val="25"/>
          <w:szCs w:val="25"/>
        </w:rPr>
        <w:t xml:space="preserve">«nel rispetto del principio di rotazione» generica </w:t>
      </w:r>
      <w:r w:rsidRPr="00791D08">
        <w:rPr>
          <w:rFonts w:ascii="Garamond" w:hAnsi="Garamond" w:cs="Times New Roman"/>
          <w:sz w:val="25"/>
          <w:szCs w:val="25"/>
        </w:rPr>
        <w:t>(</w:t>
      </w:r>
      <w:proofErr w:type="spellStart"/>
      <w:r w:rsidRPr="00791D08">
        <w:rPr>
          <w:rFonts w:ascii="Garamond" w:hAnsi="Garamond" w:cs="Times New Roman"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 50/2016, art. 50, comma 1), per cui nel corso di un anno – in linea anche con i principi dell’anticorruzione – vengono contattati</w:t>
      </w:r>
      <w:r w:rsidR="005C079D">
        <w:rPr>
          <w:rFonts w:ascii="Garamond" w:hAnsi="Garamond" w:cs="Times New Roman"/>
          <w:sz w:val="25"/>
          <w:szCs w:val="25"/>
        </w:rPr>
        <w:t xml:space="preserve"> o</w:t>
      </w:r>
      <w:r w:rsidRPr="00791D08">
        <w:rPr>
          <w:rFonts w:ascii="Garamond" w:hAnsi="Garamond" w:cs="Times New Roman"/>
          <w:sz w:val="25"/>
          <w:szCs w:val="25"/>
        </w:rPr>
        <w:t xml:space="preserve">peratori economici che non siano sempre gli stessi, peraltro 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«ove esistenti» (in quanto, già ai sensi dell’art. 50, comma 2, lett. </w:t>
      </w:r>
      <w:r w:rsidRPr="00791D08">
        <w:rPr>
          <w:rFonts w:ascii="Garamond" w:hAnsi="Garamond" w:cs="Times New Roman"/>
          <w:bCs/>
          <w:i/>
          <w:sz w:val="25"/>
          <w:szCs w:val="25"/>
        </w:rPr>
        <w:t>b)</w:t>
      </w:r>
      <w:r w:rsidRPr="00791D08">
        <w:rPr>
          <w:rFonts w:ascii="Garamond" w:hAnsi="Garamond" w:cs="Times New Roman"/>
          <w:bCs/>
          <w:sz w:val="25"/>
          <w:szCs w:val="25"/>
        </w:rPr>
        <w:t>, possono anche darsi casi di difficile reperibilità degli operatori economici stessi);</w:t>
      </w:r>
      <w:r w:rsidRPr="00791D08">
        <w:rPr>
          <w:rFonts w:ascii="Garamond" w:hAnsi="Garamond" w:cs="Times New Roman"/>
          <w:sz w:val="25"/>
          <w:szCs w:val="25"/>
        </w:rPr>
        <w:t xml:space="preserve"> </w:t>
      </w:r>
    </w:p>
    <w:p w:rsidR="00D823F7" w:rsidRPr="00791D08" w:rsidRDefault="00D823F7" w:rsidP="00177559">
      <w:pPr>
        <w:jc w:val="both"/>
        <w:rPr>
          <w:rFonts w:ascii="Garamond" w:hAnsi="Garamond"/>
          <w:b/>
          <w:sz w:val="25"/>
          <w:szCs w:val="25"/>
          <w:highlight w:val="lightGray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CONSIDERATO</w:t>
      </w:r>
      <w:r w:rsidRPr="00791D08">
        <w:rPr>
          <w:rFonts w:ascii="Garamond" w:hAnsi="Garamond" w:cs="Times New Roman"/>
          <w:sz w:val="25"/>
          <w:szCs w:val="25"/>
        </w:rPr>
        <w:t xml:space="preserve"> altresì che </w:t>
      </w:r>
    </w:p>
    <w:p w:rsidR="00D823F7" w:rsidRPr="00791D08" w:rsidRDefault="005352BD" w:rsidP="00177559">
      <w:pPr>
        <w:pStyle w:val="Paragrafoelenco"/>
        <w:numPr>
          <w:ilvl w:val="0"/>
          <w:numId w:val="6"/>
        </w:numPr>
        <w:jc w:val="both"/>
        <w:rPr>
          <w:rFonts w:ascii="Garamond" w:hAnsi="Garamond" w:cs="Times New Roman"/>
          <w:sz w:val="25"/>
          <w:szCs w:val="25"/>
        </w:rPr>
      </w:pPr>
      <w:r>
        <w:rPr>
          <w:rFonts w:ascii="Garamond" w:hAnsi="Garamond" w:cs="Times New Roman"/>
          <w:sz w:val="25"/>
          <w:szCs w:val="25"/>
        </w:rPr>
        <w:t>Alberto Da Lio</w:t>
      </w:r>
      <w:r w:rsidR="00D823F7" w:rsidRPr="00791D08">
        <w:rPr>
          <w:rFonts w:ascii="Garamond" w:hAnsi="Garamond" w:cs="Times New Roman"/>
          <w:sz w:val="25"/>
          <w:szCs w:val="25"/>
        </w:rPr>
        <w:t xml:space="preserve"> è </w:t>
      </w:r>
      <w:r>
        <w:rPr>
          <w:rFonts w:ascii="Garamond" w:hAnsi="Garamond" w:cs="Times New Roman"/>
          <w:sz w:val="25"/>
          <w:szCs w:val="25"/>
        </w:rPr>
        <w:t>uno stimato professionista che conosce la realtà aziendale ed il contesto in cui AMES opera</w:t>
      </w:r>
      <w:r w:rsidR="00D823F7" w:rsidRPr="00791D08">
        <w:rPr>
          <w:rFonts w:ascii="Garamond" w:hAnsi="Garamond" w:cs="Times New Roman"/>
          <w:sz w:val="25"/>
          <w:szCs w:val="25"/>
        </w:rPr>
        <w:t>;</w:t>
      </w:r>
    </w:p>
    <w:p w:rsidR="00D823F7" w:rsidRPr="00791D08" w:rsidRDefault="00D823F7" w:rsidP="00177559">
      <w:pPr>
        <w:pStyle w:val="Paragrafoelenco"/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ATTESO</w:t>
      </w:r>
      <w:r w:rsidRPr="00791D08">
        <w:rPr>
          <w:rFonts w:ascii="Garamond" w:hAnsi="Garamond" w:cs="Times New Roman"/>
          <w:sz w:val="25"/>
          <w:szCs w:val="25"/>
        </w:rPr>
        <w:t xml:space="preserve"> che con propria nota </w:t>
      </w:r>
      <w:r w:rsidR="005352BD" w:rsidRPr="005352BD">
        <w:rPr>
          <w:rFonts w:ascii="Garamond" w:hAnsi="Garamond"/>
          <w:bCs/>
          <w:sz w:val="24"/>
          <w:szCs w:val="24"/>
        </w:rPr>
        <w:t>2020.04.27_01</w:t>
      </w:r>
      <w:r w:rsidR="005352BD">
        <w:rPr>
          <w:rFonts w:ascii="Garamond" w:hAnsi="Garamond"/>
          <w:b/>
          <w:sz w:val="24"/>
          <w:szCs w:val="24"/>
        </w:rPr>
        <w:t xml:space="preserve"> </w:t>
      </w:r>
      <w:r w:rsidR="005352BD">
        <w:rPr>
          <w:rFonts w:ascii="Garamond" w:hAnsi="Garamond" w:cs="Times New Roman"/>
          <w:sz w:val="25"/>
          <w:szCs w:val="25"/>
        </w:rPr>
        <w:t xml:space="preserve">il dott. Da Lio </w:t>
      </w:r>
      <w:r w:rsidRPr="00791D08">
        <w:rPr>
          <w:rFonts w:ascii="Garamond" w:hAnsi="Garamond" w:cs="Times New Roman"/>
          <w:sz w:val="25"/>
          <w:szCs w:val="25"/>
        </w:rPr>
        <w:t xml:space="preserve">ha trasmesso la propria offerta per la </w:t>
      </w:r>
      <w:r w:rsidR="005352BD">
        <w:rPr>
          <w:rFonts w:ascii="Garamond" w:hAnsi="Garamond" w:cs="Times New Roman"/>
          <w:sz w:val="25"/>
          <w:szCs w:val="25"/>
        </w:rPr>
        <w:t xml:space="preserve">il servizio di assistenza alla gestione del sistema qualità </w:t>
      </w:r>
      <w:r w:rsidRPr="00791D08">
        <w:rPr>
          <w:rFonts w:ascii="Garamond" w:hAnsi="Garamond" w:cs="Times New Roman"/>
          <w:sz w:val="25"/>
          <w:szCs w:val="25"/>
        </w:rPr>
        <w:t xml:space="preserve">alle medesime condizioni originariamente proposte, per un prezzo complessivo pari ad € </w:t>
      </w:r>
      <w:r w:rsidR="005352BD">
        <w:rPr>
          <w:rFonts w:ascii="Garamond" w:hAnsi="Garamond" w:cs="Times New Roman"/>
          <w:sz w:val="25"/>
          <w:szCs w:val="25"/>
        </w:rPr>
        <w:t>6</w:t>
      </w:r>
      <w:r w:rsidRPr="00791D08">
        <w:rPr>
          <w:rFonts w:ascii="Garamond" w:hAnsi="Garamond" w:cs="Times New Roman"/>
          <w:sz w:val="25"/>
          <w:szCs w:val="25"/>
        </w:rPr>
        <w:t>.</w:t>
      </w:r>
      <w:r w:rsidR="005352BD">
        <w:rPr>
          <w:rFonts w:ascii="Garamond" w:hAnsi="Garamond" w:cs="Times New Roman"/>
          <w:sz w:val="25"/>
          <w:szCs w:val="25"/>
        </w:rPr>
        <w:t>4</w:t>
      </w:r>
      <w:r w:rsidRPr="00791D08">
        <w:rPr>
          <w:rFonts w:ascii="Garamond" w:hAnsi="Garamond" w:cs="Times New Roman"/>
          <w:sz w:val="25"/>
          <w:szCs w:val="25"/>
        </w:rPr>
        <w:t>00 iva esclusa;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/>
          <w:bCs/>
          <w:sz w:val="25"/>
          <w:szCs w:val="25"/>
        </w:rPr>
        <w:t>ATTESO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che, rientrandosi negli </w:t>
      </w:r>
      <w:r w:rsidRPr="00791D08">
        <w:rPr>
          <w:rFonts w:ascii="Garamond" w:hAnsi="Garamond"/>
          <w:bCs/>
          <w:sz w:val="25"/>
          <w:szCs w:val="25"/>
        </w:rPr>
        <w:t>«</w:t>
      </w:r>
      <w:r w:rsidRPr="00791D08">
        <w:rPr>
          <w:rFonts w:ascii="Garamond" w:hAnsi="Garamond" w:cs="Times New Roman"/>
          <w:bCs/>
          <w:sz w:val="25"/>
          <w:szCs w:val="25"/>
        </w:rPr>
        <w:t>affidamenti di importo non superiore a 40.000 euro</w:t>
      </w:r>
      <w:r w:rsidRPr="00791D08">
        <w:rPr>
          <w:rFonts w:ascii="Garamond" w:hAnsi="Garamond"/>
          <w:bCs/>
          <w:sz w:val="25"/>
          <w:szCs w:val="25"/>
        </w:rPr>
        <w:t xml:space="preserve">», 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è applicabile la stipulazione semplificata </w:t>
      </w:r>
      <w:r w:rsidRPr="00791D08">
        <w:rPr>
          <w:rFonts w:ascii="Garamond" w:hAnsi="Garamond"/>
          <w:bCs/>
          <w:sz w:val="25"/>
          <w:szCs w:val="25"/>
        </w:rPr>
        <w:t>«</w:t>
      </w:r>
      <w:r w:rsidRPr="00791D08">
        <w:rPr>
          <w:rFonts w:ascii="Garamond" w:hAnsi="Garamond" w:cs="Times New Roman"/>
          <w:bCs/>
          <w:sz w:val="25"/>
          <w:szCs w:val="25"/>
        </w:rPr>
        <w:t>mediante corrispondenza secondo l’uso del commercio consistente in un apposito scambio di lettere</w:t>
      </w:r>
      <w:r w:rsidRPr="00791D08">
        <w:rPr>
          <w:rFonts w:ascii="Garamond" w:hAnsi="Garamond"/>
          <w:bCs/>
          <w:sz w:val="25"/>
          <w:szCs w:val="25"/>
        </w:rPr>
        <w:t>»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(</w:t>
      </w:r>
      <w:proofErr w:type="spellStart"/>
      <w:r w:rsidRPr="00791D08">
        <w:rPr>
          <w:rFonts w:ascii="Garamond" w:hAnsi="Garamond" w:cs="Times New Roman"/>
          <w:bCs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bCs/>
          <w:sz w:val="25"/>
          <w:szCs w:val="25"/>
        </w:rPr>
        <w:t xml:space="preserve"> 50/2016, art. 32, comma 14);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b/>
          <w:bCs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/>
          <w:bCs/>
          <w:sz w:val="25"/>
          <w:szCs w:val="25"/>
        </w:rPr>
        <w:t>EVIDENZIATO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pertanto che questa Società ha garantito </w:t>
      </w:r>
      <w:r w:rsidRPr="00791D08">
        <w:rPr>
          <w:rFonts w:ascii="Garamond" w:eastAsia="Times New Roman" w:hAnsi="Garamond" w:cs="Times New Roman"/>
          <w:bCs/>
          <w:iCs/>
          <w:color w:val="000000"/>
          <w:sz w:val="25"/>
          <w:szCs w:val="25"/>
          <w:lang w:eastAsia="it-IT"/>
        </w:rPr>
        <w:t>«</w:t>
      </w:r>
      <w:r w:rsidRPr="00791D08">
        <w:rPr>
          <w:rFonts w:ascii="Garamond" w:hAnsi="Garamond" w:cs="Times New Roman"/>
          <w:bCs/>
          <w:sz w:val="25"/>
          <w:szCs w:val="25"/>
        </w:rPr>
        <w:t>in aderenza: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Cs/>
          <w:i/>
          <w:sz w:val="25"/>
          <w:szCs w:val="25"/>
        </w:rPr>
        <w:lastRenderedPageBreak/>
        <w:t>a)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al principio di economicità, l’uso ottimale delle risorse da impiegare nello svolgimento della selezione ovvero nell’esecuzione del contratto;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Cs/>
          <w:i/>
          <w:sz w:val="25"/>
          <w:szCs w:val="25"/>
        </w:rPr>
        <w:t>b)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al principio di efficacia, la congruità dei propri atti rispetto al conseguimento dello scopo e dell’interesse pubblico cui sono preordinati;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Cs/>
          <w:i/>
          <w:sz w:val="25"/>
          <w:szCs w:val="25"/>
        </w:rPr>
        <w:t>c)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al principio di tempestività, l’esigenza di non dilatare la durata del procedimento di selezione del contraente in assenza di obiettive ragioni;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Cs/>
          <w:i/>
          <w:sz w:val="25"/>
          <w:szCs w:val="25"/>
        </w:rPr>
        <w:t>d)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al principio di correttezza, una condotta leale ed improntata a buona fede, nella fase di affidamento;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Cs/>
          <w:i/>
          <w:sz w:val="25"/>
          <w:szCs w:val="25"/>
        </w:rPr>
        <w:t>e)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al principio di proporzionalità, l’adeguatezza e idoneità dell’azione rispetto alle finalità e all’importo dell’affidamento;</w:t>
      </w:r>
    </w:p>
    <w:p w:rsidR="00DF45CF" w:rsidRPr="00791D08" w:rsidRDefault="00DF45CF" w:rsidP="00177559">
      <w:pPr>
        <w:jc w:val="both"/>
        <w:rPr>
          <w:rFonts w:ascii="Garamond" w:hAnsi="Garamond" w:cs="Times New Roman"/>
          <w:bCs/>
          <w:sz w:val="25"/>
          <w:szCs w:val="25"/>
        </w:rPr>
      </w:pPr>
    </w:p>
    <w:p w:rsidR="00DF45CF" w:rsidRDefault="00DF45CF" w:rsidP="00177559">
      <w:pPr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/>
          <w:bCs/>
          <w:sz w:val="25"/>
          <w:szCs w:val="25"/>
        </w:rPr>
        <w:t>DATO ATTO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che non esistono convenzioni attive in Consip avente oggetto comparabile al servizio de quo come da tabella allegata all</w:t>
      </w:r>
      <w:r w:rsidR="00ED3871">
        <w:rPr>
          <w:rFonts w:ascii="Garamond" w:hAnsi="Garamond" w:cs="Times New Roman"/>
          <w:bCs/>
          <w:sz w:val="25"/>
          <w:szCs w:val="25"/>
        </w:rPr>
        <w:t>a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presente determina;</w:t>
      </w:r>
    </w:p>
    <w:p w:rsidR="005352BD" w:rsidRDefault="005352BD" w:rsidP="00177559">
      <w:pPr>
        <w:jc w:val="both"/>
        <w:rPr>
          <w:rFonts w:ascii="Garamond" w:hAnsi="Garamond" w:cs="Times New Roman"/>
          <w:bCs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C84A1C">
      <w:pPr>
        <w:jc w:val="center"/>
        <w:rPr>
          <w:rFonts w:ascii="Garamond" w:hAnsi="Garamond" w:cs="Times New Roman"/>
          <w:b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DETERMINA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b/>
          <w:sz w:val="25"/>
          <w:szCs w:val="25"/>
        </w:rPr>
      </w:pPr>
    </w:p>
    <w:p w:rsidR="00D823F7" w:rsidRPr="00791D08" w:rsidRDefault="00D823F7" w:rsidP="0017755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>Le premesse costituiscono parte integrante della presente proposta;</w:t>
      </w:r>
    </w:p>
    <w:p w:rsidR="00D823F7" w:rsidRPr="00791D08" w:rsidRDefault="00D823F7" w:rsidP="0017755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 xml:space="preserve">Di affidare le prestazioni di cui si tratta </w:t>
      </w:r>
      <w:r w:rsidR="00DA313C">
        <w:rPr>
          <w:rFonts w:ascii="Garamond" w:hAnsi="Garamond" w:cs="Times New Roman"/>
          <w:sz w:val="25"/>
          <w:szCs w:val="25"/>
        </w:rPr>
        <w:t>al dott. Alberto Da Lio</w:t>
      </w:r>
      <w:r w:rsidR="005C079D">
        <w:rPr>
          <w:rFonts w:ascii="Garamond" w:hAnsi="Garamond" w:cs="Times New Roman"/>
          <w:sz w:val="25"/>
          <w:szCs w:val="25"/>
        </w:rPr>
        <w:t xml:space="preserve"> </w:t>
      </w:r>
      <w:r w:rsidR="00DA313C">
        <w:rPr>
          <w:rFonts w:ascii="Garamond" w:hAnsi="Garamond" w:cs="Times New Roman"/>
          <w:sz w:val="25"/>
          <w:szCs w:val="25"/>
        </w:rPr>
        <w:t xml:space="preserve">- Consulenza sistemi di gestione - 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con sede in </w:t>
      </w:r>
      <w:r w:rsidR="00DA313C">
        <w:rPr>
          <w:rFonts w:ascii="Garamond" w:eastAsia="Calibri" w:hAnsi="Garamond" w:cs="Times New Roman"/>
          <w:bCs/>
          <w:color w:val="000000"/>
          <w:sz w:val="25"/>
          <w:szCs w:val="25"/>
        </w:rPr>
        <w:t>Via Polesine 2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 – </w:t>
      </w:r>
      <w:r w:rsidR="00DA313C">
        <w:rPr>
          <w:rFonts w:ascii="Garamond" w:eastAsia="Calibri" w:hAnsi="Garamond" w:cs="Times New Roman"/>
          <w:bCs/>
          <w:color w:val="000000"/>
          <w:sz w:val="25"/>
          <w:szCs w:val="25"/>
        </w:rPr>
        <w:t>35142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 – </w:t>
      </w:r>
      <w:r w:rsidR="00DA313C">
        <w:rPr>
          <w:rFonts w:ascii="Garamond" w:eastAsia="Calibri" w:hAnsi="Garamond" w:cs="Times New Roman"/>
          <w:bCs/>
          <w:color w:val="000000"/>
          <w:sz w:val="25"/>
          <w:szCs w:val="25"/>
        </w:rPr>
        <w:t>Padova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 (</w:t>
      </w:r>
      <w:r w:rsidR="00DA313C">
        <w:rPr>
          <w:rFonts w:ascii="Garamond" w:eastAsia="Calibri" w:hAnsi="Garamond" w:cs="Times New Roman"/>
          <w:bCs/>
          <w:color w:val="000000"/>
          <w:sz w:val="25"/>
          <w:szCs w:val="25"/>
        </w:rPr>
        <w:t>PD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), </w:t>
      </w:r>
      <w:r w:rsidR="00DA313C">
        <w:rPr>
          <w:rFonts w:ascii="Garamond" w:eastAsia="Calibri" w:hAnsi="Garamond" w:cs="Times New Roman"/>
          <w:bCs/>
          <w:color w:val="000000"/>
          <w:sz w:val="25"/>
          <w:szCs w:val="25"/>
        </w:rPr>
        <w:t>P.IVA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 0</w:t>
      </w:r>
      <w:r w:rsidR="00DA313C">
        <w:rPr>
          <w:rFonts w:ascii="Garamond" w:eastAsia="Calibri" w:hAnsi="Garamond" w:cs="Times New Roman"/>
          <w:bCs/>
          <w:color w:val="000000"/>
          <w:sz w:val="25"/>
          <w:szCs w:val="25"/>
        </w:rPr>
        <w:t>4618400289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, come da offerta e preventivo </w:t>
      </w:r>
      <w:r w:rsidR="00DA313C" w:rsidRPr="005352BD">
        <w:rPr>
          <w:rFonts w:ascii="Garamond" w:hAnsi="Garamond"/>
          <w:bCs/>
          <w:sz w:val="24"/>
          <w:szCs w:val="24"/>
        </w:rPr>
        <w:t>2020.04.27_01</w:t>
      </w:r>
      <w:r w:rsidR="00DA313C">
        <w:rPr>
          <w:rFonts w:ascii="Garamond" w:hAnsi="Garamond"/>
          <w:b/>
          <w:sz w:val="24"/>
          <w:szCs w:val="24"/>
        </w:rPr>
        <w:t xml:space="preserve"> 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per un costo onnicomprensivo di € </w:t>
      </w:r>
      <w:r w:rsidR="00DA313C">
        <w:rPr>
          <w:rFonts w:ascii="Garamond" w:eastAsia="Calibri" w:hAnsi="Garamond" w:cs="Times New Roman"/>
          <w:bCs/>
          <w:color w:val="000000"/>
          <w:sz w:val="25"/>
          <w:szCs w:val="25"/>
        </w:rPr>
        <w:t>6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>.</w:t>
      </w:r>
      <w:r w:rsidR="00DA313C">
        <w:rPr>
          <w:rFonts w:ascii="Garamond" w:eastAsia="Calibri" w:hAnsi="Garamond" w:cs="Times New Roman"/>
          <w:bCs/>
          <w:color w:val="000000"/>
          <w:sz w:val="25"/>
          <w:szCs w:val="25"/>
        </w:rPr>
        <w:t>4</w:t>
      </w:r>
      <w:r w:rsidR="00ED3871">
        <w:rPr>
          <w:rFonts w:ascii="Garamond" w:eastAsia="Calibri" w:hAnsi="Garamond" w:cs="Times New Roman"/>
          <w:bCs/>
          <w:color w:val="000000"/>
          <w:sz w:val="25"/>
          <w:szCs w:val="25"/>
        </w:rPr>
        <w:t>0</w:t>
      </w:r>
      <w:r w:rsidRPr="00791D08">
        <w:rPr>
          <w:rFonts w:ascii="Garamond" w:eastAsia="Calibri" w:hAnsi="Garamond" w:cs="Times New Roman"/>
          <w:bCs/>
          <w:color w:val="000000"/>
          <w:sz w:val="25"/>
          <w:szCs w:val="25"/>
        </w:rPr>
        <w:t>0,00 oltre IVA;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="00177559" w:rsidRPr="00791D08">
        <w:rPr>
          <w:rFonts w:ascii="Garamond" w:hAnsi="Garamond" w:cs="Times New Roman"/>
          <w:sz w:val="25"/>
          <w:szCs w:val="25"/>
        </w:rPr>
        <w:t>Il Direttore Generale</w:t>
      </w:r>
    </w:p>
    <w:p w:rsidR="00177559" w:rsidRPr="00791D08" w:rsidRDefault="00177559" w:rsidP="00177559">
      <w:pPr>
        <w:ind w:left="5664" w:firstLine="708"/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>Dott. Nicola Cattozzo</w:t>
      </w: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:rsidR="00D823F7" w:rsidRPr="00791D08" w:rsidRDefault="00D823F7" w:rsidP="00177559">
      <w:pPr>
        <w:jc w:val="both"/>
        <w:rPr>
          <w:rFonts w:ascii="Garamond" w:hAnsi="Garamond"/>
          <w:sz w:val="25"/>
          <w:szCs w:val="25"/>
        </w:rPr>
      </w:pPr>
    </w:p>
    <w:p w:rsidR="00BB5E33" w:rsidRPr="00791D08" w:rsidRDefault="00BB5E33" w:rsidP="00177559">
      <w:pPr>
        <w:jc w:val="both"/>
        <w:rPr>
          <w:rFonts w:ascii="Garamond" w:hAnsi="Garamond"/>
          <w:sz w:val="25"/>
          <w:szCs w:val="25"/>
        </w:rPr>
      </w:pPr>
    </w:p>
    <w:p w:rsidR="00177559" w:rsidRPr="00791D08" w:rsidRDefault="00177559">
      <w:pPr>
        <w:jc w:val="both"/>
        <w:rPr>
          <w:rFonts w:ascii="Garamond" w:hAnsi="Garamond"/>
          <w:sz w:val="25"/>
          <w:szCs w:val="25"/>
        </w:rPr>
      </w:pPr>
    </w:p>
    <w:sectPr w:rsidR="00177559" w:rsidRPr="00791D08" w:rsidSect="00614A07">
      <w:headerReference w:type="default" r:id="rId10"/>
      <w:footerReference w:type="default" r:id="rId11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FD" w:rsidRDefault="00B117FD">
      <w:r>
        <w:separator/>
      </w:r>
    </w:p>
  </w:endnote>
  <w:endnote w:type="continuationSeparator" w:id="0">
    <w:p w:rsidR="00B117FD" w:rsidRDefault="00B1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EF" w:rsidRDefault="00D823F7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075539E" wp14:editId="4015B01C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1B12089A" wp14:editId="1DE0BB0A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741FDC" wp14:editId="6EF721B9">
              <wp:simplePos x="0" y="0"/>
              <wp:positionH relativeFrom="column">
                <wp:posOffset>-739140</wp:posOffset>
              </wp:positionH>
              <wp:positionV relativeFrom="paragraph">
                <wp:posOffset>62642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71F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" strokecolor="#c0504d" strokeweight="1pt">
              <v:shadow color="#622423 [1605]" offset="1pt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59824" wp14:editId="323A6024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Cod.</w:t>
                          </w:r>
                          <w:proofErr w:type="gram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:rsidR="000A385F" w:rsidRDefault="00B117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598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Cod.</w:t>
                    </w:r>
                    <w:proofErr w:type="gram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0A385F" w:rsidRDefault="00801BF1"/>
                </w:txbxContent>
              </v:textbox>
            </v:shape>
          </w:pict>
        </mc:Fallback>
      </mc:AlternateContent>
    </w:r>
  </w:p>
  <w:p w:rsidR="000A385F" w:rsidRDefault="00D823F7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21B2D01" wp14:editId="779A663D">
              <wp:simplePos x="0" y="0"/>
              <wp:positionH relativeFrom="column">
                <wp:posOffset>5883275</wp:posOffset>
              </wp:positionH>
              <wp:positionV relativeFrom="paragraph">
                <wp:posOffset>255493</wp:posOffset>
              </wp:positionV>
              <wp:extent cx="790575" cy="3238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1B2D01" id="Casella di testo 6" o:spid="_x0000_s1027" type="#_x0000_t202" style="position:absolute;left:0;text-align:left;margin-left:463.25pt;margin-top:20.1pt;width:6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" o:allowincell="f" filled="f" stroked="f" strokeweight=".5pt">
              <v:textbox>
                <w:txbxContent>
                  <w:p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FD" w:rsidRDefault="00B117FD">
      <w:r>
        <w:separator/>
      </w:r>
    </w:p>
  </w:footnote>
  <w:footnote w:type="continuationSeparator" w:id="0">
    <w:p w:rsidR="00B117FD" w:rsidRDefault="00B1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AE4" w:rsidRDefault="00D823F7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D9B2B3D" wp14:editId="04D6A2EC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130AE4" w:rsidRDefault="00B117FD" w:rsidP="00130AE4">
    <w:pPr>
      <w:pStyle w:val="Intestazione"/>
    </w:pPr>
  </w:p>
  <w:p w:rsidR="00130AE4" w:rsidRDefault="00B117FD" w:rsidP="00130A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926"/>
    <w:multiLevelType w:val="hybridMultilevel"/>
    <w:tmpl w:val="082CF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364"/>
    <w:multiLevelType w:val="hybridMultilevel"/>
    <w:tmpl w:val="3B963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1A5"/>
    <w:multiLevelType w:val="hybridMultilevel"/>
    <w:tmpl w:val="ECB6A5B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8079CD"/>
    <w:multiLevelType w:val="hybridMultilevel"/>
    <w:tmpl w:val="6C8C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553A"/>
    <w:multiLevelType w:val="hybridMultilevel"/>
    <w:tmpl w:val="B8728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A3550"/>
    <w:multiLevelType w:val="hybridMultilevel"/>
    <w:tmpl w:val="DC34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F7"/>
    <w:rsid w:val="00177559"/>
    <w:rsid w:val="00274205"/>
    <w:rsid w:val="002A138A"/>
    <w:rsid w:val="005352BD"/>
    <w:rsid w:val="005C079D"/>
    <w:rsid w:val="00643A4C"/>
    <w:rsid w:val="0067664C"/>
    <w:rsid w:val="006C2CEC"/>
    <w:rsid w:val="00791D08"/>
    <w:rsid w:val="007B2B75"/>
    <w:rsid w:val="00801BF1"/>
    <w:rsid w:val="00AD39EE"/>
    <w:rsid w:val="00B117FD"/>
    <w:rsid w:val="00B536FD"/>
    <w:rsid w:val="00BB5E33"/>
    <w:rsid w:val="00BD0A44"/>
    <w:rsid w:val="00C84A1C"/>
    <w:rsid w:val="00D823F7"/>
    <w:rsid w:val="00DA313C"/>
    <w:rsid w:val="00DB422F"/>
    <w:rsid w:val="00DF45CF"/>
    <w:rsid w:val="00ED3871"/>
    <w:rsid w:val="00E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0C17"/>
  <w15:docId w15:val="{69849E8F-D535-496B-8D47-BA6B49EC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823F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3F7"/>
  </w:style>
  <w:style w:type="paragraph" w:styleId="Pidipagina">
    <w:name w:val="footer"/>
    <w:basedOn w:val="Normale"/>
    <w:link w:val="Pidipagina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3F7"/>
  </w:style>
  <w:style w:type="paragraph" w:styleId="Paragrafoelenco">
    <w:name w:val="List Paragraph"/>
    <w:basedOn w:val="Normale"/>
    <w:uiPriority w:val="34"/>
    <w:qFormat/>
    <w:rsid w:val="00D823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IT/TXT/PDF/?uri=CELEX:52006XC0801(01)&amp;from=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iustizia-amministrativa.it/cdsintra/cdsintra/AmministrazionePortale/DocumentViewer/index.html?ddocname=S3CZ5O67PLSTEERDA7C75WI45I&amp;q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zzettaufficiale.it/atto/serie_generale/caricaDettaglioAtto/originario?atto.dataPubblicazioneGazzetta=2016-11-23&amp;atto.codiceRedazionale=16A08182&amp;elenco30giorni=fal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5</cp:revision>
  <cp:lastPrinted>2017-06-26T06:46:00Z</cp:lastPrinted>
  <dcterms:created xsi:type="dcterms:W3CDTF">2020-06-12T13:21:00Z</dcterms:created>
  <dcterms:modified xsi:type="dcterms:W3CDTF">2020-06-19T08:35:00Z</dcterms:modified>
</cp:coreProperties>
</file>