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9FF" w:rsidRPr="005D5FA8" w:rsidRDefault="00C15E53" w:rsidP="0079268B">
      <w:pPr>
        <w:spacing w:line="276" w:lineRule="auto"/>
        <w:rPr>
          <w:rFonts w:ascii="Garamond" w:hAnsi="Garamond"/>
          <w:sz w:val="24"/>
          <w:szCs w:val="24"/>
        </w:rPr>
      </w:pPr>
      <w:bookmarkStart w:id="0" w:name="_GoBack"/>
      <w:bookmarkEnd w:id="0"/>
      <w:r w:rsidRPr="005D5FA8">
        <w:rPr>
          <w:rFonts w:ascii="Garamond" w:hAnsi="Garamond"/>
          <w:sz w:val="24"/>
          <w:szCs w:val="24"/>
        </w:rPr>
        <w:t xml:space="preserve">Prot. n.         </w:t>
      </w:r>
      <w:r w:rsidR="008A4637">
        <w:rPr>
          <w:rFonts w:ascii="Garamond" w:hAnsi="Garamond"/>
          <w:sz w:val="24"/>
          <w:szCs w:val="24"/>
        </w:rPr>
        <w:t xml:space="preserve"> </w:t>
      </w:r>
      <w:r w:rsidRPr="005D5FA8">
        <w:rPr>
          <w:rFonts w:ascii="Garamond" w:hAnsi="Garamond"/>
          <w:sz w:val="24"/>
          <w:szCs w:val="24"/>
        </w:rPr>
        <w:t xml:space="preserve">  /1</w:t>
      </w:r>
      <w:r w:rsidR="005D5FA8" w:rsidRPr="005D5FA8">
        <w:rPr>
          <w:rFonts w:ascii="Garamond" w:hAnsi="Garamond"/>
          <w:sz w:val="24"/>
          <w:szCs w:val="24"/>
        </w:rPr>
        <w:t>8</w:t>
      </w:r>
      <w:r w:rsidRPr="005D5FA8">
        <w:rPr>
          <w:rFonts w:ascii="Garamond" w:hAnsi="Garamond"/>
          <w:sz w:val="24"/>
          <w:szCs w:val="24"/>
        </w:rPr>
        <w:t>/</w:t>
      </w:r>
      <w:r w:rsidR="00EF4AA0" w:rsidRPr="005D5FA8">
        <w:rPr>
          <w:rFonts w:ascii="Garamond" w:hAnsi="Garamond"/>
          <w:sz w:val="24"/>
          <w:szCs w:val="24"/>
        </w:rPr>
        <w:t>UG</w:t>
      </w:r>
      <w:r w:rsidRPr="005D5FA8">
        <w:rPr>
          <w:rFonts w:ascii="Garamond" w:hAnsi="Garamond"/>
          <w:sz w:val="24"/>
          <w:szCs w:val="24"/>
        </w:rPr>
        <w:t>/</w:t>
      </w:r>
      <w:r w:rsidR="008A4637">
        <w:rPr>
          <w:rFonts w:ascii="Garamond" w:hAnsi="Garamond"/>
          <w:sz w:val="24"/>
          <w:szCs w:val="24"/>
        </w:rPr>
        <w:t>dpd</w:t>
      </w:r>
    </w:p>
    <w:p w:rsidR="00C15E53" w:rsidRPr="005D5FA8" w:rsidRDefault="00C15E53" w:rsidP="0079268B">
      <w:pPr>
        <w:spacing w:line="276" w:lineRule="auto"/>
        <w:rPr>
          <w:rFonts w:ascii="Garamond" w:hAnsi="Garamond"/>
          <w:sz w:val="24"/>
          <w:szCs w:val="24"/>
        </w:rPr>
      </w:pPr>
      <w:r w:rsidRPr="005D5FA8">
        <w:rPr>
          <w:rFonts w:ascii="Garamond" w:hAnsi="Garamond"/>
          <w:sz w:val="24"/>
          <w:szCs w:val="24"/>
        </w:rPr>
        <w:t xml:space="preserve">Venezia  </w:t>
      </w:r>
      <w:r w:rsidR="008A4637">
        <w:rPr>
          <w:rFonts w:ascii="Garamond" w:hAnsi="Garamond"/>
          <w:sz w:val="24"/>
          <w:szCs w:val="24"/>
        </w:rPr>
        <w:t>27</w:t>
      </w:r>
      <w:r w:rsidRPr="005D5FA8">
        <w:rPr>
          <w:rFonts w:ascii="Garamond" w:hAnsi="Garamond"/>
          <w:sz w:val="24"/>
          <w:szCs w:val="24"/>
        </w:rPr>
        <w:t>/</w:t>
      </w:r>
      <w:r w:rsidR="00456DAE">
        <w:rPr>
          <w:rFonts w:ascii="Garamond" w:hAnsi="Garamond"/>
          <w:sz w:val="24"/>
          <w:szCs w:val="24"/>
        </w:rPr>
        <w:t>0</w:t>
      </w:r>
      <w:r w:rsidR="00970C25">
        <w:rPr>
          <w:rFonts w:ascii="Garamond" w:hAnsi="Garamond"/>
          <w:sz w:val="24"/>
          <w:szCs w:val="24"/>
        </w:rPr>
        <w:t>2</w:t>
      </w:r>
      <w:r w:rsidRPr="005D5FA8">
        <w:rPr>
          <w:rFonts w:ascii="Garamond" w:hAnsi="Garamond"/>
          <w:sz w:val="24"/>
          <w:szCs w:val="24"/>
        </w:rPr>
        <w:t>/201</w:t>
      </w:r>
      <w:r w:rsidR="005D5FA8" w:rsidRPr="005D5FA8">
        <w:rPr>
          <w:rFonts w:ascii="Garamond" w:hAnsi="Garamond"/>
          <w:sz w:val="24"/>
          <w:szCs w:val="24"/>
        </w:rPr>
        <w:t>8</w:t>
      </w:r>
    </w:p>
    <w:p w:rsidR="00C15E53" w:rsidRPr="005D5FA8" w:rsidRDefault="00C15E53" w:rsidP="0079268B">
      <w:pPr>
        <w:spacing w:line="276" w:lineRule="auto"/>
        <w:rPr>
          <w:rFonts w:ascii="Garamond" w:hAnsi="Garamond"/>
          <w:sz w:val="24"/>
          <w:szCs w:val="24"/>
        </w:rPr>
      </w:pPr>
    </w:p>
    <w:p w:rsidR="00C15E53" w:rsidRPr="005D5FA8" w:rsidRDefault="00C15E53" w:rsidP="0079268B">
      <w:pPr>
        <w:spacing w:line="276" w:lineRule="auto"/>
        <w:rPr>
          <w:rFonts w:ascii="Garamond" w:hAnsi="Garamond"/>
          <w:sz w:val="24"/>
          <w:szCs w:val="24"/>
        </w:rPr>
      </w:pPr>
      <w:r w:rsidRPr="005D5FA8">
        <w:rPr>
          <w:rFonts w:ascii="Garamond" w:hAnsi="Garamond"/>
          <w:sz w:val="24"/>
          <w:szCs w:val="24"/>
        </w:rPr>
        <w:t xml:space="preserve">     </w:t>
      </w:r>
    </w:p>
    <w:p w:rsidR="00C15E53" w:rsidRPr="005D5FA8" w:rsidRDefault="00C15E53" w:rsidP="0079268B">
      <w:pPr>
        <w:spacing w:line="276" w:lineRule="auto"/>
        <w:rPr>
          <w:rFonts w:ascii="Garamond" w:hAnsi="Garamond"/>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6"/>
        <w:gridCol w:w="8677"/>
      </w:tblGrid>
      <w:tr w:rsidR="00C15E53" w:rsidRPr="005D5FA8" w:rsidTr="00C15E53">
        <w:tc>
          <w:tcPr>
            <w:tcW w:w="1101" w:type="dxa"/>
          </w:tcPr>
          <w:p w:rsidR="00C15E53" w:rsidRPr="005D5FA8" w:rsidRDefault="00C15E53" w:rsidP="0079268B">
            <w:pPr>
              <w:spacing w:line="276" w:lineRule="auto"/>
              <w:rPr>
                <w:rFonts w:ascii="Garamond" w:hAnsi="Garamond"/>
                <w:b/>
                <w:sz w:val="24"/>
                <w:szCs w:val="24"/>
              </w:rPr>
            </w:pPr>
            <w:r w:rsidRPr="005D5FA8">
              <w:rPr>
                <w:rFonts w:ascii="Garamond" w:hAnsi="Garamond"/>
                <w:b/>
                <w:sz w:val="24"/>
                <w:szCs w:val="24"/>
              </w:rPr>
              <w:t>Oggetto</w:t>
            </w:r>
            <w:r w:rsidR="005D5FA8">
              <w:rPr>
                <w:rFonts w:ascii="Garamond" w:hAnsi="Garamond"/>
                <w:b/>
                <w:sz w:val="24"/>
                <w:szCs w:val="24"/>
              </w:rPr>
              <w:t>:</w:t>
            </w:r>
            <w:r w:rsidRPr="005D5FA8">
              <w:rPr>
                <w:rFonts w:ascii="Garamond" w:hAnsi="Garamond"/>
                <w:b/>
                <w:sz w:val="24"/>
                <w:szCs w:val="24"/>
              </w:rPr>
              <w:t xml:space="preserve"> </w:t>
            </w:r>
          </w:p>
        </w:tc>
        <w:tc>
          <w:tcPr>
            <w:tcW w:w="8677" w:type="dxa"/>
          </w:tcPr>
          <w:p w:rsidR="00C15E53" w:rsidRPr="005D5FA8" w:rsidRDefault="00C15E53" w:rsidP="0079268B">
            <w:pPr>
              <w:spacing w:line="276" w:lineRule="auto"/>
              <w:jc w:val="both"/>
              <w:rPr>
                <w:rFonts w:ascii="Garamond" w:hAnsi="Garamond"/>
                <w:b/>
                <w:sz w:val="24"/>
                <w:szCs w:val="24"/>
              </w:rPr>
            </w:pPr>
            <w:r w:rsidRPr="005D5FA8">
              <w:rPr>
                <w:rFonts w:ascii="Garamond" w:hAnsi="Garamond"/>
                <w:b/>
                <w:sz w:val="24"/>
                <w:szCs w:val="24"/>
              </w:rPr>
              <w:t xml:space="preserve">Procedura </w:t>
            </w:r>
            <w:r w:rsidR="00C36353">
              <w:rPr>
                <w:rFonts w:ascii="Garamond" w:hAnsi="Garamond"/>
                <w:b/>
                <w:sz w:val="24"/>
                <w:szCs w:val="24"/>
              </w:rPr>
              <w:t>ristretta</w:t>
            </w:r>
            <w:r w:rsidRPr="005D5FA8">
              <w:rPr>
                <w:rFonts w:ascii="Garamond" w:hAnsi="Garamond"/>
                <w:b/>
                <w:sz w:val="24"/>
                <w:szCs w:val="24"/>
              </w:rPr>
              <w:t xml:space="preserve"> per fornitura di farmaco, parafarmaco e altri prodotti e articoli abitualmente usati e distribuiti dal canale farmacia, e servizi connessi, alle farmacie gestite dall'Azienda Multiservizi Economici e Sociali S.p.A. di Venezia.</w:t>
            </w:r>
          </w:p>
          <w:p w:rsidR="00C15E53" w:rsidRPr="005D5FA8" w:rsidRDefault="005D5FA8" w:rsidP="0079268B">
            <w:pPr>
              <w:spacing w:line="276" w:lineRule="auto"/>
              <w:jc w:val="both"/>
              <w:rPr>
                <w:rFonts w:ascii="Garamond" w:hAnsi="Garamond"/>
                <w:b/>
                <w:sz w:val="24"/>
                <w:szCs w:val="24"/>
              </w:rPr>
            </w:pPr>
            <w:r w:rsidRPr="005D5FA8">
              <w:rPr>
                <w:rFonts w:ascii="Garamond" w:hAnsi="Garamond"/>
                <w:b/>
                <w:sz w:val="24"/>
                <w:szCs w:val="24"/>
              </w:rPr>
              <w:t>Determina a contrarre</w:t>
            </w:r>
            <w:r w:rsidR="00C15E53" w:rsidRPr="005D5FA8">
              <w:rPr>
                <w:rFonts w:ascii="Garamond" w:hAnsi="Garamond"/>
                <w:b/>
                <w:sz w:val="24"/>
                <w:szCs w:val="24"/>
              </w:rPr>
              <w:t>.</w:t>
            </w:r>
          </w:p>
          <w:p w:rsidR="00C15E53" w:rsidRPr="005D5FA8" w:rsidRDefault="00C15E53" w:rsidP="0079268B">
            <w:pPr>
              <w:spacing w:line="276" w:lineRule="auto"/>
              <w:jc w:val="both"/>
              <w:rPr>
                <w:rFonts w:ascii="Garamond" w:hAnsi="Garamond"/>
                <w:sz w:val="24"/>
                <w:szCs w:val="24"/>
              </w:rPr>
            </w:pPr>
          </w:p>
        </w:tc>
      </w:tr>
    </w:tbl>
    <w:p w:rsidR="00C15E53" w:rsidRPr="005D5FA8" w:rsidRDefault="00C15E53" w:rsidP="0079268B">
      <w:pPr>
        <w:spacing w:line="276" w:lineRule="auto"/>
        <w:rPr>
          <w:rFonts w:ascii="Garamond" w:hAnsi="Garamond"/>
          <w:sz w:val="24"/>
          <w:szCs w:val="24"/>
        </w:rPr>
      </w:pPr>
    </w:p>
    <w:p w:rsidR="00C15E53" w:rsidRPr="005D5FA8" w:rsidRDefault="00C15E53" w:rsidP="0079268B">
      <w:pPr>
        <w:spacing w:line="276" w:lineRule="auto"/>
        <w:jc w:val="both"/>
        <w:rPr>
          <w:rFonts w:ascii="Garamond" w:hAnsi="Garamond"/>
          <w:b/>
          <w:sz w:val="24"/>
          <w:szCs w:val="24"/>
        </w:rPr>
      </w:pPr>
    </w:p>
    <w:p w:rsidR="00C15E53" w:rsidRPr="005D5FA8" w:rsidRDefault="005D5FA8" w:rsidP="0079268B">
      <w:pPr>
        <w:spacing w:after="240" w:line="276" w:lineRule="auto"/>
        <w:jc w:val="both"/>
        <w:rPr>
          <w:rFonts w:ascii="Garamond" w:hAnsi="Garamond"/>
          <w:sz w:val="24"/>
          <w:szCs w:val="24"/>
        </w:rPr>
      </w:pPr>
      <w:r w:rsidRPr="005D5FA8">
        <w:rPr>
          <w:rFonts w:ascii="Garamond" w:hAnsi="Garamond"/>
          <w:b/>
          <w:sz w:val="24"/>
          <w:szCs w:val="24"/>
        </w:rPr>
        <w:t>R</w:t>
      </w:r>
      <w:r w:rsidR="002B71CB" w:rsidRPr="005D5FA8">
        <w:rPr>
          <w:rFonts w:ascii="Garamond" w:hAnsi="Garamond"/>
          <w:b/>
          <w:sz w:val="24"/>
          <w:szCs w:val="24"/>
        </w:rPr>
        <w:t>ichiamata</w:t>
      </w:r>
      <w:r w:rsidR="00C15E53" w:rsidRPr="005D5FA8">
        <w:rPr>
          <w:rFonts w:ascii="Garamond" w:hAnsi="Garamond"/>
          <w:b/>
          <w:sz w:val="24"/>
          <w:szCs w:val="24"/>
        </w:rPr>
        <w:t xml:space="preserve"> </w:t>
      </w:r>
      <w:r w:rsidR="00C15E53" w:rsidRPr="005D5FA8">
        <w:rPr>
          <w:rFonts w:ascii="Garamond" w:hAnsi="Garamond"/>
          <w:sz w:val="24"/>
          <w:szCs w:val="24"/>
        </w:rPr>
        <w:t>la delibera</w:t>
      </w:r>
      <w:r w:rsidRPr="005D5FA8">
        <w:rPr>
          <w:rFonts w:ascii="Garamond" w:hAnsi="Garamond"/>
          <w:sz w:val="24"/>
          <w:szCs w:val="24"/>
        </w:rPr>
        <w:t>zione</w:t>
      </w:r>
      <w:r w:rsidR="00C15E53" w:rsidRPr="005D5FA8">
        <w:rPr>
          <w:rFonts w:ascii="Garamond" w:hAnsi="Garamond"/>
          <w:sz w:val="24"/>
          <w:szCs w:val="24"/>
        </w:rPr>
        <w:t xml:space="preserve"> Assembleare del </w:t>
      </w:r>
      <w:r w:rsidR="007818D5" w:rsidRPr="005D5FA8">
        <w:rPr>
          <w:rFonts w:ascii="Garamond" w:hAnsi="Garamond"/>
          <w:sz w:val="24"/>
          <w:szCs w:val="24"/>
        </w:rPr>
        <w:t>29/1</w:t>
      </w:r>
      <w:r w:rsidR="00FC256E" w:rsidRPr="005D5FA8">
        <w:rPr>
          <w:rFonts w:ascii="Garamond" w:hAnsi="Garamond"/>
          <w:sz w:val="24"/>
          <w:szCs w:val="24"/>
        </w:rPr>
        <w:t>1</w:t>
      </w:r>
      <w:r w:rsidR="007818D5" w:rsidRPr="005D5FA8">
        <w:rPr>
          <w:rFonts w:ascii="Garamond" w:hAnsi="Garamond"/>
          <w:sz w:val="24"/>
          <w:szCs w:val="24"/>
        </w:rPr>
        <w:t>/2017 con cui è stato conferito l’incarico di Direttore Generale al Dott. Nicola Cattozzo a decorrere dal 01 dicembre 2017</w:t>
      </w:r>
      <w:r w:rsidR="002B71CB">
        <w:rPr>
          <w:rFonts w:ascii="Garamond" w:hAnsi="Garamond"/>
          <w:sz w:val="24"/>
          <w:szCs w:val="24"/>
        </w:rPr>
        <w:t>.</w:t>
      </w:r>
    </w:p>
    <w:p w:rsidR="008A4637" w:rsidRDefault="002B71CB" w:rsidP="0079268B">
      <w:pPr>
        <w:spacing w:line="276" w:lineRule="auto"/>
        <w:jc w:val="both"/>
        <w:rPr>
          <w:rFonts w:ascii="Garamond" w:hAnsi="Garamond"/>
          <w:b/>
          <w:sz w:val="24"/>
          <w:szCs w:val="24"/>
        </w:rPr>
      </w:pPr>
      <w:r>
        <w:rPr>
          <w:rFonts w:ascii="Garamond" w:hAnsi="Garamond"/>
          <w:b/>
          <w:sz w:val="24"/>
          <w:szCs w:val="24"/>
        </w:rPr>
        <w:t>P</w:t>
      </w:r>
      <w:r w:rsidRPr="005D5FA8">
        <w:rPr>
          <w:rFonts w:ascii="Garamond" w:hAnsi="Garamond"/>
          <w:b/>
          <w:sz w:val="24"/>
          <w:szCs w:val="24"/>
        </w:rPr>
        <w:t>remesso che</w:t>
      </w:r>
      <w:r w:rsidR="008A4637">
        <w:rPr>
          <w:rFonts w:ascii="Garamond" w:hAnsi="Garamond"/>
          <w:b/>
          <w:sz w:val="24"/>
          <w:szCs w:val="24"/>
        </w:rPr>
        <w:t>:</w:t>
      </w:r>
    </w:p>
    <w:p w:rsidR="00030270" w:rsidRPr="008A4637" w:rsidRDefault="005D5FA8" w:rsidP="0079268B">
      <w:pPr>
        <w:pStyle w:val="Paragrafoelenco"/>
        <w:numPr>
          <w:ilvl w:val="0"/>
          <w:numId w:val="14"/>
        </w:numPr>
        <w:spacing w:line="276" w:lineRule="auto"/>
        <w:jc w:val="both"/>
        <w:rPr>
          <w:rFonts w:ascii="Garamond" w:hAnsi="Garamond"/>
        </w:rPr>
      </w:pPr>
      <w:r w:rsidRPr="008A4637">
        <w:rPr>
          <w:rFonts w:ascii="Garamond" w:hAnsi="Garamond"/>
          <w:b/>
          <w:sz w:val="24"/>
          <w:szCs w:val="24"/>
        </w:rPr>
        <w:t>c</w:t>
      </w:r>
      <w:r w:rsidR="00BE5EE3" w:rsidRPr="008A4637">
        <w:rPr>
          <w:rFonts w:ascii="Garamond" w:hAnsi="Garamond"/>
          <w:sz w:val="24"/>
          <w:szCs w:val="24"/>
        </w:rPr>
        <w:t>on determina</w:t>
      </w:r>
      <w:r w:rsidR="007818D5" w:rsidRPr="008A4637">
        <w:rPr>
          <w:rFonts w:ascii="Garamond" w:hAnsi="Garamond"/>
          <w:sz w:val="24"/>
          <w:szCs w:val="24"/>
        </w:rPr>
        <w:t xml:space="preserve"> dell’Amministratore Unico n. </w:t>
      </w:r>
      <w:r w:rsidR="00BE5EE3" w:rsidRPr="008A4637">
        <w:rPr>
          <w:rFonts w:ascii="Garamond" w:hAnsi="Garamond"/>
          <w:sz w:val="24"/>
          <w:szCs w:val="24"/>
        </w:rPr>
        <w:t xml:space="preserve">35/2017 </w:t>
      </w:r>
      <w:r w:rsidR="00F15385" w:rsidRPr="008A4637">
        <w:rPr>
          <w:rFonts w:ascii="Garamond" w:hAnsi="Garamond"/>
          <w:sz w:val="24"/>
          <w:szCs w:val="24"/>
        </w:rPr>
        <w:t xml:space="preserve">del 5 ottobre 2017 </w:t>
      </w:r>
      <w:r w:rsidR="00BE5EE3" w:rsidRPr="008A4637">
        <w:rPr>
          <w:rFonts w:ascii="Garamond" w:hAnsi="Garamond"/>
          <w:sz w:val="24"/>
          <w:szCs w:val="24"/>
        </w:rPr>
        <w:t xml:space="preserve"> </w:t>
      </w:r>
      <w:r w:rsidR="0013716F" w:rsidRPr="008A4637">
        <w:rPr>
          <w:rFonts w:ascii="Garamond" w:hAnsi="Garamond"/>
          <w:sz w:val="24"/>
          <w:szCs w:val="24"/>
        </w:rPr>
        <w:t>è stata indetta una procedura ristretta accelerata</w:t>
      </w:r>
      <w:r w:rsidR="00BD21A0" w:rsidRPr="008A4637">
        <w:rPr>
          <w:rFonts w:ascii="Garamond" w:hAnsi="Garamond"/>
          <w:sz w:val="24"/>
          <w:szCs w:val="24"/>
        </w:rPr>
        <w:t xml:space="preserve"> ai sensi dell’articolo 61 del D.Lgs. 50/2016 suddivisa in due lotti funzionali, rispettivamente per l’approvvigionamento del farmaco e del parafarmaco alle farmacie gestite da AMES SpA</w:t>
      </w:r>
      <w:r w:rsidR="008A4637" w:rsidRPr="008A4637">
        <w:rPr>
          <w:rFonts w:ascii="Garamond" w:hAnsi="Garamond"/>
          <w:sz w:val="24"/>
          <w:szCs w:val="24"/>
        </w:rPr>
        <w:t>;</w:t>
      </w:r>
    </w:p>
    <w:p w:rsidR="004867B3" w:rsidRDefault="002B71CB" w:rsidP="0079268B">
      <w:pPr>
        <w:pStyle w:val="Default"/>
        <w:numPr>
          <w:ilvl w:val="0"/>
          <w:numId w:val="1"/>
        </w:numPr>
        <w:spacing w:line="276" w:lineRule="auto"/>
        <w:jc w:val="both"/>
        <w:rPr>
          <w:rFonts w:ascii="Garamond" w:hAnsi="Garamond"/>
        </w:rPr>
      </w:pPr>
      <w:r>
        <w:rPr>
          <w:rFonts w:ascii="Garamond" w:hAnsi="Garamond"/>
        </w:rPr>
        <w:t>E</w:t>
      </w:r>
      <w:r w:rsidR="004867B3" w:rsidRPr="005D5FA8">
        <w:rPr>
          <w:rFonts w:ascii="Garamond" w:hAnsi="Garamond"/>
        </w:rPr>
        <w:t>ntro il termine di scadenza per la presentazione delle offerte previsto dal</w:t>
      </w:r>
      <w:r w:rsidR="005D5FA8">
        <w:rPr>
          <w:rFonts w:ascii="Garamond" w:hAnsi="Garamond"/>
        </w:rPr>
        <w:t xml:space="preserve"> </w:t>
      </w:r>
      <w:r w:rsidR="004867B3" w:rsidRPr="005D5FA8">
        <w:rPr>
          <w:rFonts w:ascii="Garamond" w:hAnsi="Garamond"/>
        </w:rPr>
        <w:t xml:space="preserve">bando di gara </w:t>
      </w:r>
      <w:r w:rsidR="00D12948" w:rsidRPr="005D5FA8">
        <w:rPr>
          <w:rFonts w:ascii="Garamond" w:hAnsi="Garamond"/>
        </w:rPr>
        <w:t xml:space="preserve">(ore 12:00 del 30.11.2017) </w:t>
      </w:r>
      <w:r w:rsidR="004867B3" w:rsidRPr="005D5FA8">
        <w:rPr>
          <w:rFonts w:ascii="Garamond" w:hAnsi="Garamond"/>
        </w:rPr>
        <w:t>non è pervenuta alcuna offerta al Protocollo</w:t>
      </w:r>
      <w:r w:rsidR="00D12948" w:rsidRPr="005D5FA8">
        <w:rPr>
          <w:rFonts w:ascii="Garamond" w:hAnsi="Garamond"/>
        </w:rPr>
        <w:t xml:space="preserve"> </w:t>
      </w:r>
      <w:r w:rsidR="004867B3" w:rsidRPr="005D5FA8">
        <w:rPr>
          <w:rFonts w:ascii="Garamond" w:hAnsi="Garamond"/>
        </w:rPr>
        <w:t>dell</w:t>
      </w:r>
      <w:r w:rsidR="00D12948" w:rsidRPr="005D5FA8">
        <w:rPr>
          <w:rFonts w:ascii="Garamond" w:hAnsi="Garamond"/>
        </w:rPr>
        <w:t>a Società;</w:t>
      </w:r>
      <w:r w:rsidR="004867B3" w:rsidRPr="005D5FA8">
        <w:rPr>
          <w:rFonts w:ascii="Garamond" w:hAnsi="Garamond"/>
        </w:rPr>
        <w:t xml:space="preserve"> </w:t>
      </w:r>
    </w:p>
    <w:p w:rsidR="005D5FA8" w:rsidRDefault="002B71CB" w:rsidP="0079268B">
      <w:pPr>
        <w:pStyle w:val="Default"/>
        <w:numPr>
          <w:ilvl w:val="0"/>
          <w:numId w:val="1"/>
        </w:numPr>
        <w:spacing w:line="276" w:lineRule="auto"/>
        <w:jc w:val="both"/>
        <w:rPr>
          <w:rFonts w:ascii="Garamond" w:hAnsi="Garamond"/>
        </w:rPr>
      </w:pPr>
      <w:r>
        <w:rPr>
          <w:rFonts w:ascii="Garamond" w:hAnsi="Garamond"/>
        </w:rPr>
        <w:t>C</w:t>
      </w:r>
      <w:r w:rsidR="005D5FA8">
        <w:rPr>
          <w:rFonts w:ascii="Garamond" w:hAnsi="Garamond"/>
        </w:rPr>
        <w:t>on determina prot</w:t>
      </w:r>
      <w:r w:rsidR="008A4637">
        <w:rPr>
          <w:rFonts w:ascii="Garamond" w:hAnsi="Garamond"/>
        </w:rPr>
        <w:t>. n.</w:t>
      </w:r>
      <w:r w:rsidR="005D5FA8">
        <w:rPr>
          <w:rFonts w:ascii="Garamond" w:hAnsi="Garamond"/>
        </w:rPr>
        <w:t xml:space="preserve"> 3426 del 14.12.2017 il Direttore Generale:</w:t>
      </w:r>
    </w:p>
    <w:p w:rsidR="005D5FA8" w:rsidRDefault="005D5FA8" w:rsidP="0079268B">
      <w:pPr>
        <w:pStyle w:val="Default"/>
        <w:numPr>
          <w:ilvl w:val="0"/>
          <w:numId w:val="5"/>
        </w:numPr>
        <w:spacing w:line="276" w:lineRule="auto"/>
        <w:jc w:val="both"/>
        <w:rPr>
          <w:rFonts w:ascii="Garamond" w:hAnsi="Garamond"/>
        </w:rPr>
      </w:pPr>
      <w:r>
        <w:rPr>
          <w:rFonts w:ascii="Garamond" w:hAnsi="Garamond"/>
        </w:rPr>
        <w:t>ha preso atto che la gara è andata deserta;</w:t>
      </w:r>
    </w:p>
    <w:p w:rsidR="005D5FA8" w:rsidRDefault="005D5FA8" w:rsidP="0079268B">
      <w:pPr>
        <w:pStyle w:val="Default"/>
        <w:numPr>
          <w:ilvl w:val="0"/>
          <w:numId w:val="5"/>
        </w:numPr>
        <w:spacing w:line="276" w:lineRule="auto"/>
        <w:jc w:val="both"/>
        <w:rPr>
          <w:rFonts w:ascii="Garamond" w:hAnsi="Garamond"/>
        </w:rPr>
      </w:pPr>
      <w:r w:rsidRPr="005D5FA8">
        <w:rPr>
          <w:rFonts w:ascii="Garamond" w:hAnsi="Garamond"/>
        </w:rPr>
        <w:t xml:space="preserve">ha autorizzato la predisposizione di una nuova gara d’appalto per la fornitura di farmaco e parafarmaco, mediante procedura </w:t>
      </w:r>
      <w:r w:rsidR="00C36353">
        <w:rPr>
          <w:rFonts w:ascii="Garamond" w:hAnsi="Garamond"/>
        </w:rPr>
        <w:t>ad evidenza pubblica</w:t>
      </w:r>
      <w:r w:rsidRPr="005D5FA8">
        <w:rPr>
          <w:rFonts w:ascii="Garamond" w:hAnsi="Garamond"/>
        </w:rPr>
        <w:t>, sopra soglia comunitaria, ai sensi del D.Lgs. 50/2016, con il criterio dell’offerta economicamente più vantaggiosa, individuata sulla base del miglior rapporto qualità prezzo;</w:t>
      </w:r>
    </w:p>
    <w:p w:rsidR="005D5FA8" w:rsidRDefault="005D5FA8" w:rsidP="0079268B">
      <w:pPr>
        <w:pStyle w:val="Default"/>
        <w:numPr>
          <w:ilvl w:val="0"/>
          <w:numId w:val="5"/>
        </w:numPr>
        <w:spacing w:line="276" w:lineRule="auto"/>
        <w:jc w:val="both"/>
        <w:rPr>
          <w:rFonts w:ascii="Garamond" w:hAnsi="Garamond"/>
        </w:rPr>
      </w:pPr>
      <w:r w:rsidRPr="005D5FA8">
        <w:rPr>
          <w:rFonts w:ascii="Garamond" w:hAnsi="Garamond"/>
        </w:rPr>
        <w:t>ha stabilito che l</w:t>
      </w:r>
      <w:r w:rsidR="00970C25">
        <w:rPr>
          <w:rFonts w:ascii="Garamond" w:hAnsi="Garamond"/>
        </w:rPr>
        <w:t>a struttura aziendale analizzasse le cause che hanno portato alla mancata partecipazione di operatori economici alla gara d’appalto;</w:t>
      </w:r>
    </w:p>
    <w:p w:rsidR="005D5FA8" w:rsidRDefault="005D5FA8" w:rsidP="0079268B">
      <w:pPr>
        <w:pStyle w:val="Default"/>
        <w:numPr>
          <w:ilvl w:val="0"/>
          <w:numId w:val="5"/>
        </w:numPr>
        <w:spacing w:line="276" w:lineRule="auto"/>
        <w:jc w:val="both"/>
        <w:rPr>
          <w:rFonts w:ascii="Garamond" w:hAnsi="Garamond"/>
        </w:rPr>
      </w:pPr>
      <w:r>
        <w:rPr>
          <w:rFonts w:ascii="Garamond" w:hAnsi="Garamond"/>
        </w:rPr>
        <w:t xml:space="preserve">ha dato </w:t>
      </w:r>
      <w:r w:rsidRPr="005D5FA8">
        <w:rPr>
          <w:rFonts w:ascii="Garamond" w:hAnsi="Garamond"/>
        </w:rPr>
        <w:t>atto che</w:t>
      </w:r>
      <w:r>
        <w:rPr>
          <w:rFonts w:ascii="Garamond" w:hAnsi="Garamond"/>
        </w:rPr>
        <w:t xml:space="preserve"> gli atti di gara verranno approvati </w:t>
      </w:r>
      <w:r w:rsidRPr="005D5FA8">
        <w:rPr>
          <w:rFonts w:ascii="Garamond" w:hAnsi="Garamond"/>
        </w:rPr>
        <w:t xml:space="preserve"> con successivo provvedimento</w:t>
      </w:r>
      <w:r w:rsidR="002B71CB">
        <w:rPr>
          <w:rFonts w:ascii="Garamond" w:hAnsi="Garamond"/>
        </w:rPr>
        <w:t>.</w:t>
      </w:r>
    </w:p>
    <w:p w:rsidR="005D5FA8" w:rsidRDefault="005D5FA8" w:rsidP="0079268B">
      <w:pPr>
        <w:pStyle w:val="Default"/>
        <w:spacing w:line="276" w:lineRule="auto"/>
        <w:jc w:val="both"/>
        <w:rPr>
          <w:rFonts w:ascii="Garamond" w:hAnsi="Garamond"/>
          <w:b/>
        </w:rPr>
      </w:pPr>
    </w:p>
    <w:p w:rsidR="005D5FA8" w:rsidRDefault="002B71CB" w:rsidP="00C36353">
      <w:pPr>
        <w:pStyle w:val="Default"/>
        <w:spacing w:line="276" w:lineRule="auto"/>
        <w:jc w:val="both"/>
        <w:outlineLvl w:val="0"/>
        <w:rPr>
          <w:rFonts w:ascii="Garamond" w:hAnsi="Garamond"/>
          <w:b/>
        </w:rPr>
      </w:pPr>
      <w:r>
        <w:rPr>
          <w:rFonts w:ascii="Garamond" w:hAnsi="Garamond"/>
          <w:b/>
        </w:rPr>
        <w:t>Considerato che</w:t>
      </w:r>
      <w:r w:rsidR="005D5FA8">
        <w:rPr>
          <w:rFonts w:ascii="Garamond" w:hAnsi="Garamond"/>
          <w:b/>
        </w:rPr>
        <w:t>:</w:t>
      </w:r>
    </w:p>
    <w:p w:rsidR="00970C25" w:rsidRDefault="002B71CB" w:rsidP="0079268B">
      <w:pPr>
        <w:pStyle w:val="Default"/>
        <w:numPr>
          <w:ilvl w:val="0"/>
          <w:numId w:val="6"/>
        </w:numPr>
        <w:spacing w:line="276" w:lineRule="auto"/>
        <w:jc w:val="both"/>
        <w:rPr>
          <w:rFonts w:ascii="Garamond" w:hAnsi="Garamond"/>
        </w:rPr>
      </w:pPr>
      <w:r>
        <w:rPr>
          <w:rFonts w:ascii="Garamond" w:hAnsi="Garamond"/>
        </w:rPr>
        <w:t xml:space="preserve">La struttura aziendale, a seguito dell’analisi delle ragioni che possono aver condotto ad una procedura di gara deserta </w:t>
      </w:r>
      <w:r w:rsidR="00970C25">
        <w:rPr>
          <w:rFonts w:ascii="Garamond" w:hAnsi="Garamond"/>
        </w:rPr>
        <w:t>sulla base delle richieste di chiarimento pervenute, ha ritenuto che la lex specialis contenesse alcune prescrizioni di ordine tecnico-informatico la cui implementazione da parte dell’aggiudicatario, comportava eccessivi oneri economici in un settore dove vi è già ridotta marginalità;</w:t>
      </w:r>
    </w:p>
    <w:p w:rsidR="005D5FA8" w:rsidRDefault="00970C25" w:rsidP="0079268B">
      <w:pPr>
        <w:pStyle w:val="Default"/>
        <w:numPr>
          <w:ilvl w:val="0"/>
          <w:numId w:val="6"/>
        </w:numPr>
        <w:spacing w:line="276" w:lineRule="auto"/>
        <w:jc w:val="both"/>
        <w:rPr>
          <w:rFonts w:ascii="Garamond" w:hAnsi="Garamond"/>
        </w:rPr>
      </w:pPr>
      <w:r>
        <w:rPr>
          <w:rFonts w:ascii="Garamond" w:hAnsi="Garamond"/>
        </w:rPr>
        <w:t xml:space="preserve">L’Ufficio gare </w:t>
      </w:r>
      <w:r w:rsidR="002B71CB">
        <w:rPr>
          <w:rFonts w:ascii="Garamond" w:hAnsi="Garamond"/>
        </w:rPr>
        <w:t>ha</w:t>
      </w:r>
      <w:r>
        <w:rPr>
          <w:rFonts w:ascii="Garamond" w:hAnsi="Garamond"/>
        </w:rPr>
        <w:t xml:space="preserve"> conseguentemente </w:t>
      </w:r>
      <w:r w:rsidR="002B71CB">
        <w:rPr>
          <w:rFonts w:ascii="Garamond" w:hAnsi="Garamond"/>
        </w:rPr>
        <w:t xml:space="preserve"> elaborato un nuovo progetto che possa garantire massima partecipazione e concorrenzialità tra gli operatori economici del settore;</w:t>
      </w:r>
    </w:p>
    <w:p w:rsidR="002B71CB" w:rsidRDefault="002B71CB" w:rsidP="0079268B">
      <w:pPr>
        <w:pStyle w:val="Default"/>
        <w:numPr>
          <w:ilvl w:val="0"/>
          <w:numId w:val="6"/>
        </w:numPr>
        <w:spacing w:line="276" w:lineRule="auto"/>
        <w:jc w:val="both"/>
        <w:rPr>
          <w:rFonts w:ascii="Garamond" w:hAnsi="Garamond"/>
        </w:rPr>
      </w:pPr>
      <w:r>
        <w:rPr>
          <w:rFonts w:ascii="Garamond" w:hAnsi="Garamond"/>
        </w:rPr>
        <w:t xml:space="preserve">La progettazione dell’appalto prevede l’esperimento di una procedura </w:t>
      </w:r>
      <w:r w:rsidR="00C36353">
        <w:rPr>
          <w:rFonts w:ascii="Garamond" w:hAnsi="Garamond"/>
        </w:rPr>
        <w:t>ristretta</w:t>
      </w:r>
      <w:r>
        <w:rPr>
          <w:rFonts w:ascii="Garamond" w:hAnsi="Garamond"/>
        </w:rPr>
        <w:t>, sopra soglia comunitaria, ai sensi dell’art. 6</w:t>
      </w:r>
      <w:r w:rsidR="00C36353">
        <w:rPr>
          <w:rFonts w:ascii="Garamond" w:hAnsi="Garamond"/>
        </w:rPr>
        <w:t>1</w:t>
      </w:r>
      <w:r>
        <w:rPr>
          <w:rFonts w:ascii="Garamond" w:hAnsi="Garamond"/>
        </w:rPr>
        <w:t xml:space="preserve"> D.Lgs. 50/2016, </w:t>
      </w:r>
      <w:r w:rsidR="00970C25">
        <w:rPr>
          <w:rFonts w:ascii="Garamond" w:hAnsi="Garamond"/>
        </w:rPr>
        <w:t>in un unico lotto</w:t>
      </w:r>
      <w:r>
        <w:rPr>
          <w:rFonts w:ascii="Garamond" w:hAnsi="Garamond"/>
        </w:rPr>
        <w:t xml:space="preserve"> </w:t>
      </w:r>
      <w:r w:rsidRPr="005D5FA8">
        <w:rPr>
          <w:rFonts w:ascii="Garamond" w:hAnsi="Garamond"/>
        </w:rPr>
        <w:t>per l’approvvigionamento di farmaco</w:t>
      </w:r>
      <w:r w:rsidR="00970C25">
        <w:rPr>
          <w:rFonts w:ascii="Garamond" w:hAnsi="Garamond"/>
        </w:rPr>
        <w:t xml:space="preserve">, </w:t>
      </w:r>
      <w:r w:rsidRPr="005D5FA8">
        <w:rPr>
          <w:rFonts w:ascii="Garamond" w:hAnsi="Garamond"/>
        </w:rPr>
        <w:t>parafarmaco e altri prodotti da farmacia e servizi connessi</w:t>
      </w:r>
      <w:r>
        <w:rPr>
          <w:rFonts w:ascii="Garamond" w:hAnsi="Garamond"/>
        </w:rPr>
        <w:t xml:space="preserve"> da aggiudicare attraverso il </w:t>
      </w:r>
      <w:r>
        <w:rPr>
          <w:rFonts w:ascii="Garamond" w:hAnsi="Garamond"/>
        </w:rPr>
        <w:lastRenderedPageBreak/>
        <w:t>criterio dell’offerta economicamente più vantaggiosa sulla base del miglior rapporto qualità prezzo.</w:t>
      </w:r>
    </w:p>
    <w:p w:rsidR="008851A9" w:rsidRPr="008851A9" w:rsidRDefault="008851A9" w:rsidP="008851A9">
      <w:pPr>
        <w:pStyle w:val="Default"/>
        <w:numPr>
          <w:ilvl w:val="0"/>
          <w:numId w:val="6"/>
        </w:numPr>
        <w:tabs>
          <w:tab w:val="left" w:pos="360"/>
        </w:tabs>
        <w:spacing w:before="60" w:after="60" w:line="276" w:lineRule="auto"/>
        <w:jc w:val="both"/>
        <w:rPr>
          <w:rFonts w:ascii="Garamond" w:hAnsi="Garamond"/>
        </w:rPr>
      </w:pPr>
      <w:r w:rsidRPr="008851A9">
        <w:rPr>
          <w:rFonts w:ascii="Garamond" w:hAnsi="Garamond"/>
        </w:rPr>
        <w:t xml:space="preserve">La scelta di costruire l’appalto in </w:t>
      </w:r>
      <w:r>
        <w:rPr>
          <w:rFonts w:ascii="Garamond" w:hAnsi="Garamond"/>
        </w:rPr>
        <w:t>u</w:t>
      </w:r>
      <w:r w:rsidRPr="008851A9">
        <w:rPr>
          <w:rFonts w:ascii="Garamond" w:hAnsi="Garamond"/>
        </w:rPr>
        <w:t xml:space="preserve">n unico lotto </w:t>
      </w:r>
      <w:r>
        <w:rPr>
          <w:rFonts w:ascii="Garamond" w:hAnsi="Garamond"/>
        </w:rPr>
        <w:t>è giustificata dal fatto che si tratta</w:t>
      </w:r>
      <w:r w:rsidRPr="008851A9">
        <w:rPr>
          <w:rFonts w:ascii="Garamond" w:hAnsi="Garamond"/>
        </w:rPr>
        <w:t xml:space="preserve"> di appalto unitario sia per quanto attiene all’oggetto  che per le modalità esecutive scaturenti dalla situazione materiale e giuridica dei luoghi entro cui operare. </w:t>
      </w:r>
      <w:r>
        <w:rPr>
          <w:rFonts w:ascii="Garamond" w:hAnsi="Garamond"/>
        </w:rPr>
        <w:t>D</w:t>
      </w:r>
      <w:r w:rsidR="008A4637">
        <w:rPr>
          <w:rFonts w:ascii="Garamond" w:hAnsi="Garamond"/>
        </w:rPr>
        <w:t>e</w:t>
      </w:r>
      <w:r>
        <w:rPr>
          <w:rFonts w:ascii="Garamond" w:hAnsi="Garamond"/>
        </w:rPr>
        <w:t>l resto, l</w:t>
      </w:r>
      <w:r w:rsidRPr="008851A9">
        <w:rPr>
          <w:rFonts w:ascii="Garamond" w:hAnsi="Garamond"/>
        </w:rPr>
        <w:t xml:space="preserve">a suddivisione in due lotti </w:t>
      </w:r>
      <w:r>
        <w:rPr>
          <w:rFonts w:ascii="Garamond" w:hAnsi="Garamond"/>
        </w:rPr>
        <w:t xml:space="preserve">nella precedente gara d’appalto </w:t>
      </w:r>
      <w:r w:rsidRPr="008851A9">
        <w:rPr>
          <w:rFonts w:ascii="Garamond" w:hAnsi="Garamond"/>
        </w:rPr>
        <w:t xml:space="preserve">non è stata sufficiente a garantire la concorrenzialità che costituisce la ratio dell’art. 51 del Codice. Inoltre, anche laddove si prendano in considerazione le precedenti procedure di gara aggiudicate negli anni passati, si osserva che la suddivisione in lotti non ha mai comportato un allargamento della platea degli operatori economici i quali hanno sempre presentato offerta per entrambi i lotti messi a gara. Ciò dipende evidentemente anche dalla peculiarità dell’oggetto dell’appalto che, richiedendo il possesso di requisiti e autorizzazioni di cui all’art. 100 del D.Lgs. 219/2006 per la vendita e distribuzione di medicinali, ed il requisito di poter gestire un numero di referenze adeguato a garantire il normale approvvigionamento nel circuito di farmacie gestite da AMES, limita il numero di operatori economici idonei a presentare offerta.  </w:t>
      </w:r>
    </w:p>
    <w:p w:rsidR="008851A9" w:rsidRDefault="008851A9" w:rsidP="008851A9">
      <w:pPr>
        <w:pStyle w:val="Paragrafoelenco"/>
        <w:numPr>
          <w:ilvl w:val="0"/>
          <w:numId w:val="6"/>
        </w:numPr>
        <w:tabs>
          <w:tab w:val="left" w:pos="360"/>
        </w:tabs>
        <w:spacing w:before="60" w:after="60" w:line="276" w:lineRule="auto"/>
        <w:jc w:val="both"/>
        <w:rPr>
          <w:rFonts w:ascii="Garamond" w:hAnsi="Garamond" w:cs="Liberation Sans"/>
          <w:color w:val="000000"/>
          <w:sz w:val="24"/>
          <w:szCs w:val="24"/>
        </w:rPr>
      </w:pPr>
      <w:r w:rsidRPr="008851A9">
        <w:rPr>
          <w:rFonts w:ascii="Garamond" w:hAnsi="Garamond" w:cs="Liberation Sans"/>
          <w:color w:val="000000"/>
          <w:sz w:val="24"/>
          <w:szCs w:val="24"/>
        </w:rPr>
        <w:t xml:space="preserve">La </w:t>
      </w:r>
      <w:r>
        <w:rPr>
          <w:rFonts w:ascii="Garamond" w:hAnsi="Garamond" w:cs="Liberation Sans"/>
          <w:color w:val="000000"/>
          <w:sz w:val="24"/>
          <w:szCs w:val="24"/>
        </w:rPr>
        <w:t>decisione</w:t>
      </w:r>
      <w:r w:rsidRPr="008851A9">
        <w:rPr>
          <w:rFonts w:ascii="Garamond" w:hAnsi="Garamond" w:cs="Liberation Sans"/>
          <w:color w:val="000000"/>
          <w:sz w:val="24"/>
          <w:szCs w:val="24"/>
        </w:rPr>
        <w:t xml:space="preserve"> di indire un appalt</w:t>
      </w:r>
      <w:r>
        <w:rPr>
          <w:rFonts w:ascii="Garamond" w:hAnsi="Garamond" w:cs="Liberation Sans"/>
          <w:color w:val="000000"/>
          <w:sz w:val="24"/>
          <w:szCs w:val="24"/>
        </w:rPr>
        <w:t xml:space="preserve">o costituito da un unico lotto </w:t>
      </w:r>
      <w:r w:rsidRPr="008851A9">
        <w:rPr>
          <w:rFonts w:ascii="Garamond" w:hAnsi="Garamond" w:cs="Liberation Sans"/>
          <w:color w:val="000000"/>
          <w:sz w:val="24"/>
          <w:szCs w:val="24"/>
        </w:rPr>
        <w:t xml:space="preserve">consentirà di ottenere economie di scala trattandosi di forniture di beni a non altissima intensità di manodopera destinati </w:t>
      </w:r>
      <w:r>
        <w:rPr>
          <w:rFonts w:ascii="Garamond" w:hAnsi="Garamond" w:cs="Liberation Sans"/>
          <w:color w:val="000000"/>
          <w:sz w:val="24"/>
          <w:szCs w:val="24"/>
        </w:rPr>
        <w:t>a</w:t>
      </w:r>
      <w:r w:rsidRPr="008851A9">
        <w:rPr>
          <w:rFonts w:ascii="Garamond" w:hAnsi="Garamond" w:cs="Liberation Sans"/>
          <w:color w:val="000000"/>
          <w:sz w:val="24"/>
          <w:szCs w:val="24"/>
        </w:rPr>
        <w:t>ll’approvvigionamento delle medesime farmacie.</w:t>
      </w:r>
    </w:p>
    <w:p w:rsidR="008851A9" w:rsidRPr="008851A9" w:rsidRDefault="00D928A0" w:rsidP="008851A9">
      <w:pPr>
        <w:pStyle w:val="Paragrafoelenco"/>
        <w:numPr>
          <w:ilvl w:val="0"/>
          <w:numId w:val="6"/>
        </w:numPr>
        <w:tabs>
          <w:tab w:val="left" w:pos="360"/>
        </w:tabs>
        <w:spacing w:before="60" w:after="60" w:line="276" w:lineRule="auto"/>
        <w:jc w:val="both"/>
        <w:rPr>
          <w:rFonts w:ascii="Garamond" w:hAnsi="Garamond" w:cs="Liberation Sans"/>
          <w:color w:val="000000"/>
          <w:sz w:val="24"/>
          <w:szCs w:val="24"/>
        </w:rPr>
      </w:pPr>
      <w:r>
        <w:rPr>
          <w:rFonts w:ascii="Garamond" w:hAnsi="Garamond" w:cs="Liberation Sans"/>
          <w:color w:val="000000"/>
          <w:sz w:val="24"/>
          <w:szCs w:val="24"/>
        </w:rPr>
        <w:t>La necessità di individuare il nuovo affidatario della fornitura di farmaco e parafarmaco, a seguito della precedente gara andata deserta, giustifica il ricorso alla procedura accelerata;</w:t>
      </w:r>
    </w:p>
    <w:p w:rsidR="002B71CB" w:rsidRDefault="002B71CB" w:rsidP="00C36353">
      <w:pPr>
        <w:pStyle w:val="Default"/>
        <w:spacing w:before="240" w:line="276" w:lineRule="auto"/>
        <w:jc w:val="both"/>
        <w:outlineLvl w:val="0"/>
        <w:rPr>
          <w:rFonts w:ascii="Garamond" w:hAnsi="Garamond"/>
          <w:b/>
        </w:rPr>
      </w:pPr>
      <w:r w:rsidRPr="002B71CB">
        <w:rPr>
          <w:rFonts w:ascii="Garamond" w:hAnsi="Garamond"/>
          <w:b/>
        </w:rPr>
        <w:t>Richiamate le seguenti disposizioni normative e regolamentari:</w:t>
      </w:r>
    </w:p>
    <w:p w:rsidR="002B71CB" w:rsidRDefault="002B71CB" w:rsidP="0079268B">
      <w:pPr>
        <w:pStyle w:val="Default"/>
        <w:numPr>
          <w:ilvl w:val="0"/>
          <w:numId w:val="7"/>
        </w:numPr>
        <w:spacing w:before="240" w:line="276" w:lineRule="auto"/>
        <w:jc w:val="both"/>
        <w:rPr>
          <w:rFonts w:ascii="Garamond" w:hAnsi="Garamond"/>
        </w:rPr>
      </w:pPr>
      <w:r w:rsidRPr="002B71CB">
        <w:rPr>
          <w:rFonts w:ascii="Garamond" w:hAnsi="Garamond"/>
        </w:rPr>
        <w:t>L’articolo 3 della legge</w:t>
      </w:r>
      <w:r>
        <w:rPr>
          <w:rFonts w:ascii="Garamond" w:hAnsi="Garamond"/>
        </w:rPr>
        <w:t xml:space="preserve"> 136/2010 in materia di tracciabilità dei flussi finanziari;</w:t>
      </w:r>
    </w:p>
    <w:p w:rsidR="002B71CB" w:rsidRDefault="002B71CB" w:rsidP="0079268B">
      <w:pPr>
        <w:pStyle w:val="Default"/>
        <w:numPr>
          <w:ilvl w:val="0"/>
          <w:numId w:val="7"/>
        </w:numPr>
        <w:spacing w:before="240" w:line="276" w:lineRule="auto"/>
        <w:jc w:val="both"/>
        <w:rPr>
          <w:rFonts w:ascii="Garamond" w:hAnsi="Garamond"/>
        </w:rPr>
      </w:pPr>
      <w:r>
        <w:rPr>
          <w:rFonts w:ascii="Garamond" w:hAnsi="Garamond"/>
        </w:rPr>
        <w:t>Il decreto legislativo 18 aprile 2016 n. 50 “Attuazione delle direttive 2014/23/UE,</w:t>
      </w:r>
      <w:r w:rsidRPr="002B71CB">
        <w:rPr>
          <w:rFonts w:ascii="Garamond" w:hAnsi="Garamond"/>
        </w:rPr>
        <w:t xml:space="preserve"> </w:t>
      </w:r>
      <w:r>
        <w:rPr>
          <w:rFonts w:ascii="Garamond" w:hAnsi="Garamond"/>
        </w:rPr>
        <w:t>2014/24/UE,</w:t>
      </w:r>
      <w:r w:rsidRPr="002B71CB">
        <w:rPr>
          <w:rFonts w:ascii="Garamond" w:hAnsi="Garamond"/>
        </w:rPr>
        <w:t xml:space="preserve"> </w:t>
      </w:r>
      <w:r w:rsidR="0083360D">
        <w:rPr>
          <w:rFonts w:ascii="Garamond" w:hAnsi="Garamond"/>
        </w:rPr>
        <w:t>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di seguito denominato D.Lgs. 50/2016 s.m.i. ed in particolare:</w:t>
      </w:r>
    </w:p>
    <w:p w:rsidR="0083360D" w:rsidRDefault="0083360D" w:rsidP="0079268B">
      <w:pPr>
        <w:pStyle w:val="Default"/>
        <w:numPr>
          <w:ilvl w:val="0"/>
          <w:numId w:val="8"/>
        </w:numPr>
        <w:spacing w:line="276" w:lineRule="auto"/>
        <w:jc w:val="both"/>
        <w:rPr>
          <w:rFonts w:ascii="Garamond" w:hAnsi="Garamond"/>
        </w:rPr>
      </w:pPr>
      <w:r>
        <w:rPr>
          <w:rFonts w:ascii="Garamond" w:hAnsi="Garamond"/>
        </w:rPr>
        <w:t>L’art. 30, comma 1, sui principi per l’aggiudicazione e l’esecuzione di appalti e concessioni e l’articolo 35 sui contratti e le relative soglie comunitarie;</w:t>
      </w:r>
    </w:p>
    <w:p w:rsidR="0083360D" w:rsidRDefault="00AF7C81" w:rsidP="0079268B">
      <w:pPr>
        <w:pStyle w:val="Default"/>
        <w:numPr>
          <w:ilvl w:val="0"/>
          <w:numId w:val="8"/>
        </w:numPr>
        <w:spacing w:line="276" w:lineRule="auto"/>
        <w:jc w:val="both"/>
        <w:rPr>
          <w:rFonts w:ascii="Garamond" w:hAnsi="Garamond"/>
        </w:rPr>
      </w:pPr>
      <w:r>
        <w:rPr>
          <w:rFonts w:ascii="Garamond" w:hAnsi="Garamond"/>
        </w:rPr>
        <w:t>L’art. 32 sulle fasi delle procedure di affidamento;</w:t>
      </w:r>
    </w:p>
    <w:p w:rsidR="00AF7C81" w:rsidRDefault="00AF7C81" w:rsidP="0079268B">
      <w:pPr>
        <w:pStyle w:val="Default"/>
        <w:numPr>
          <w:ilvl w:val="0"/>
          <w:numId w:val="8"/>
        </w:numPr>
        <w:spacing w:line="276" w:lineRule="auto"/>
        <w:jc w:val="both"/>
        <w:rPr>
          <w:rFonts w:ascii="Garamond" w:hAnsi="Garamond"/>
        </w:rPr>
      </w:pPr>
      <w:r>
        <w:rPr>
          <w:rFonts w:ascii="Garamond" w:hAnsi="Garamond"/>
        </w:rPr>
        <w:t>L’art. 80 sui motivi di esclusione;</w:t>
      </w:r>
    </w:p>
    <w:p w:rsidR="00AF7C81" w:rsidRDefault="00AF7C81" w:rsidP="0079268B">
      <w:pPr>
        <w:pStyle w:val="Default"/>
        <w:numPr>
          <w:ilvl w:val="0"/>
          <w:numId w:val="8"/>
        </w:numPr>
        <w:spacing w:line="276" w:lineRule="auto"/>
        <w:jc w:val="both"/>
        <w:rPr>
          <w:rFonts w:ascii="Garamond" w:hAnsi="Garamond"/>
        </w:rPr>
      </w:pPr>
      <w:r>
        <w:rPr>
          <w:rFonts w:ascii="Garamond" w:hAnsi="Garamond"/>
        </w:rPr>
        <w:t>L’art. 29 sui principi in materia di trasparenza;</w:t>
      </w:r>
    </w:p>
    <w:p w:rsidR="00AF7C81" w:rsidRDefault="00AF7C81" w:rsidP="0079268B">
      <w:pPr>
        <w:pStyle w:val="Default"/>
        <w:numPr>
          <w:ilvl w:val="0"/>
          <w:numId w:val="8"/>
        </w:numPr>
        <w:spacing w:line="276" w:lineRule="auto"/>
        <w:jc w:val="both"/>
        <w:rPr>
          <w:rFonts w:ascii="Garamond" w:hAnsi="Garamond"/>
        </w:rPr>
      </w:pPr>
      <w:r>
        <w:rPr>
          <w:rFonts w:ascii="Garamond" w:hAnsi="Garamond"/>
        </w:rPr>
        <w:t>L’art. 6</w:t>
      </w:r>
      <w:r w:rsidR="00C36353">
        <w:rPr>
          <w:rFonts w:ascii="Garamond" w:hAnsi="Garamond"/>
        </w:rPr>
        <w:t>1</w:t>
      </w:r>
      <w:r>
        <w:rPr>
          <w:rFonts w:ascii="Garamond" w:hAnsi="Garamond"/>
        </w:rPr>
        <w:t xml:space="preserve"> sulle disposizioni per la procedura </w:t>
      </w:r>
      <w:r w:rsidR="00C36353">
        <w:rPr>
          <w:rFonts w:ascii="Garamond" w:hAnsi="Garamond"/>
        </w:rPr>
        <w:t>ristretta</w:t>
      </w:r>
      <w:r>
        <w:rPr>
          <w:rFonts w:ascii="Garamond" w:hAnsi="Garamond"/>
        </w:rPr>
        <w:t>;</w:t>
      </w:r>
    </w:p>
    <w:p w:rsidR="00AF7C81" w:rsidRDefault="00AF7C81" w:rsidP="0079268B">
      <w:pPr>
        <w:pStyle w:val="Default"/>
        <w:numPr>
          <w:ilvl w:val="0"/>
          <w:numId w:val="8"/>
        </w:numPr>
        <w:spacing w:line="276" w:lineRule="auto"/>
        <w:jc w:val="both"/>
        <w:rPr>
          <w:rFonts w:ascii="Garamond" w:hAnsi="Garamond"/>
        </w:rPr>
      </w:pPr>
      <w:r>
        <w:rPr>
          <w:rFonts w:ascii="Garamond" w:hAnsi="Garamond"/>
        </w:rPr>
        <w:t>L’art. 95 sui criteri di aggiudicazione degli appalti.</w:t>
      </w:r>
    </w:p>
    <w:p w:rsidR="00AF7C81" w:rsidRPr="002B71CB" w:rsidRDefault="00AF7C81" w:rsidP="0079268B">
      <w:pPr>
        <w:pStyle w:val="Default"/>
        <w:spacing w:line="276" w:lineRule="auto"/>
        <w:ind w:left="720" w:hanging="720"/>
        <w:jc w:val="both"/>
        <w:rPr>
          <w:rFonts w:ascii="Garamond" w:hAnsi="Garamond"/>
        </w:rPr>
      </w:pPr>
    </w:p>
    <w:p w:rsidR="005D5FA8" w:rsidRDefault="00AF7C81" w:rsidP="0079268B">
      <w:pPr>
        <w:pStyle w:val="Default"/>
        <w:spacing w:line="276" w:lineRule="auto"/>
        <w:jc w:val="both"/>
        <w:rPr>
          <w:rFonts w:ascii="Garamond" w:hAnsi="Garamond"/>
        </w:rPr>
      </w:pPr>
      <w:r>
        <w:rPr>
          <w:rFonts w:ascii="Garamond" w:hAnsi="Garamond"/>
          <w:b/>
        </w:rPr>
        <w:t xml:space="preserve">Presa visione </w:t>
      </w:r>
      <w:r>
        <w:rPr>
          <w:rFonts w:ascii="Garamond" w:hAnsi="Garamond"/>
        </w:rPr>
        <w:t>della seguente documentazione di gara:</w:t>
      </w:r>
    </w:p>
    <w:p w:rsidR="00AF7C81" w:rsidRDefault="00AF7C81" w:rsidP="0079268B">
      <w:pPr>
        <w:pStyle w:val="Default"/>
        <w:numPr>
          <w:ilvl w:val="0"/>
          <w:numId w:val="9"/>
        </w:numPr>
        <w:spacing w:line="276" w:lineRule="auto"/>
        <w:jc w:val="both"/>
        <w:rPr>
          <w:rFonts w:ascii="Garamond" w:hAnsi="Garamond"/>
        </w:rPr>
      </w:pPr>
      <w:r>
        <w:rPr>
          <w:rFonts w:ascii="Garamond" w:hAnsi="Garamond"/>
        </w:rPr>
        <w:t>Progetto ai sensi dell’art. 23, comma 14, del D.Lgs. 50/2016;</w:t>
      </w:r>
    </w:p>
    <w:p w:rsidR="00AF7C81" w:rsidRDefault="00AF7C81" w:rsidP="0079268B">
      <w:pPr>
        <w:pStyle w:val="Default"/>
        <w:numPr>
          <w:ilvl w:val="0"/>
          <w:numId w:val="9"/>
        </w:numPr>
        <w:spacing w:line="276" w:lineRule="auto"/>
        <w:jc w:val="both"/>
        <w:rPr>
          <w:rFonts w:ascii="Garamond" w:hAnsi="Garamond"/>
        </w:rPr>
      </w:pPr>
      <w:r>
        <w:rPr>
          <w:rFonts w:ascii="Garamond" w:hAnsi="Garamond"/>
        </w:rPr>
        <w:t>Bando di gara;</w:t>
      </w:r>
    </w:p>
    <w:p w:rsidR="00AF7C81" w:rsidRDefault="00AF7C81" w:rsidP="0079268B">
      <w:pPr>
        <w:pStyle w:val="Default"/>
        <w:numPr>
          <w:ilvl w:val="0"/>
          <w:numId w:val="9"/>
        </w:numPr>
        <w:spacing w:line="276" w:lineRule="auto"/>
        <w:jc w:val="both"/>
        <w:rPr>
          <w:rFonts w:ascii="Garamond" w:hAnsi="Garamond"/>
        </w:rPr>
      </w:pPr>
      <w:r>
        <w:rPr>
          <w:rFonts w:ascii="Garamond" w:hAnsi="Garamond"/>
        </w:rPr>
        <w:t>Capitolato Speciale d’appalto e relativo allegato;</w:t>
      </w:r>
    </w:p>
    <w:p w:rsidR="00AF7C81" w:rsidRDefault="00AF7C81" w:rsidP="0079268B">
      <w:pPr>
        <w:pStyle w:val="Default"/>
        <w:numPr>
          <w:ilvl w:val="0"/>
          <w:numId w:val="9"/>
        </w:numPr>
        <w:spacing w:line="276" w:lineRule="auto"/>
        <w:jc w:val="both"/>
        <w:rPr>
          <w:rFonts w:ascii="Garamond" w:hAnsi="Garamond"/>
        </w:rPr>
      </w:pPr>
      <w:r>
        <w:rPr>
          <w:rFonts w:ascii="Garamond" w:hAnsi="Garamond"/>
        </w:rPr>
        <w:lastRenderedPageBreak/>
        <w:t>Disciplinare di gara e relativi allegati</w:t>
      </w:r>
      <w:r w:rsidR="00B618D7">
        <w:rPr>
          <w:rFonts w:ascii="Garamond" w:hAnsi="Garamond"/>
        </w:rPr>
        <w:t>;</w:t>
      </w:r>
    </w:p>
    <w:p w:rsidR="00AF7C81" w:rsidRDefault="00AF7C81" w:rsidP="0079268B">
      <w:pPr>
        <w:pStyle w:val="Default"/>
        <w:numPr>
          <w:ilvl w:val="0"/>
          <w:numId w:val="9"/>
        </w:numPr>
        <w:spacing w:line="276" w:lineRule="auto"/>
        <w:jc w:val="both"/>
        <w:rPr>
          <w:rFonts w:ascii="Garamond" w:hAnsi="Garamond"/>
        </w:rPr>
      </w:pPr>
      <w:r>
        <w:rPr>
          <w:rFonts w:ascii="Garamond" w:hAnsi="Garamond"/>
        </w:rPr>
        <w:t>Schem</w:t>
      </w:r>
      <w:r w:rsidR="008851A9">
        <w:rPr>
          <w:rFonts w:ascii="Garamond" w:hAnsi="Garamond"/>
        </w:rPr>
        <w:t>a</w:t>
      </w:r>
      <w:r>
        <w:rPr>
          <w:rFonts w:ascii="Garamond" w:hAnsi="Garamond"/>
        </w:rPr>
        <w:t xml:space="preserve"> di contratto</w:t>
      </w:r>
      <w:r w:rsidR="00B618D7">
        <w:rPr>
          <w:rFonts w:ascii="Garamond" w:hAnsi="Garamond"/>
        </w:rPr>
        <w:t>;</w:t>
      </w:r>
    </w:p>
    <w:p w:rsidR="00AF7C81" w:rsidRPr="00AF7C81" w:rsidRDefault="00AF7C81" w:rsidP="0079268B">
      <w:pPr>
        <w:pStyle w:val="Default"/>
        <w:spacing w:line="276" w:lineRule="auto"/>
        <w:jc w:val="both"/>
        <w:rPr>
          <w:rFonts w:ascii="Garamond" w:hAnsi="Garamond"/>
        </w:rPr>
      </w:pPr>
      <w:r>
        <w:rPr>
          <w:rFonts w:ascii="Garamond" w:hAnsi="Garamond"/>
        </w:rPr>
        <w:t>Che vengono acclusi alla presente determina</w:t>
      </w:r>
      <w:r w:rsidR="008851A9">
        <w:rPr>
          <w:rFonts w:ascii="Garamond" w:hAnsi="Garamond"/>
        </w:rPr>
        <w:t>;</w:t>
      </w:r>
    </w:p>
    <w:p w:rsidR="00D12948" w:rsidRPr="005D5FA8" w:rsidRDefault="00D12948" w:rsidP="0079268B">
      <w:pPr>
        <w:spacing w:line="276" w:lineRule="auto"/>
        <w:jc w:val="both"/>
        <w:rPr>
          <w:rFonts w:ascii="Garamond" w:hAnsi="Garamond"/>
          <w:sz w:val="24"/>
          <w:szCs w:val="24"/>
        </w:rPr>
      </w:pPr>
    </w:p>
    <w:p w:rsidR="00D12948" w:rsidRPr="005D5FA8" w:rsidRDefault="00D12948" w:rsidP="00C36353">
      <w:pPr>
        <w:spacing w:line="276" w:lineRule="auto"/>
        <w:jc w:val="center"/>
        <w:outlineLvl w:val="0"/>
        <w:rPr>
          <w:rFonts w:ascii="Garamond" w:hAnsi="Garamond"/>
          <w:b/>
          <w:sz w:val="24"/>
          <w:szCs w:val="24"/>
        </w:rPr>
      </w:pPr>
      <w:r w:rsidRPr="005D5FA8">
        <w:rPr>
          <w:rFonts w:ascii="Garamond" w:hAnsi="Garamond"/>
          <w:b/>
          <w:sz w:val="24"/>
          <w:szCs w:val="24"/>
        </w:rPr>
        <w:t>DETERMINA</w:t>
      </w:r>
    </w:p>
    <w:p w:rsidR="00FC256E" w:rsidRPr="005D5FA8" w:rsidRDefault="00FC256E" w:rsidP="0079268B">
      <w:pPr>
        <w:spacing w:line="276" w:lineRule="auto"/>
        <w:jc w:val="both"/>
        <w:rPr>
          <w:rFonts w:ascii="Garamond" w:hAnsi="Garamond"/>
          <w:sz w:val="24"/>
          <w:szCs w:val="24"/>
        </w:rPr>
      </w:pPr>
    </w:p>
    <w:p w:rsidR="00AF7C81" w:rsidRDefault="00D12948" w:rsidP="0079268B">
      <w:pPr>
        <w:pStyle w:val="Paragrafoelenco"/>
        <w:numPr>
          <w:ilvl w:val="0"/>
          <w:numId w:val="10"/>
        </w:numPr>
        <w:spacing w:after="240" w:line="276" w:lineRule="auto"/>
        <w:jc w:val="both"/>
        <w:rPr>
          <w:rFonts w:ascii="Garamond" w:hAnsi="Garamond"/>
          <w:sz w:val="24"/>
          <w:szCs w:val="24"/>
        </w:rPr>
      </w:pPr>
      <w:r w:rsidRPr="00AF7C81">
        <w:rPr>
          <w:rFonts w:ascii="Garamond" w:hAnsi="Garamond"/>
          <w:sz w:val="24"/>
          <w:szCs w:val="24"/>
        </w:rPr>
        <w:t xml:space="preserve">di </w:t>
      </w:r>
      <w:r w:rsidR="00AF7C81" w:rsidRPr="00AF7C81">
        <w:rPr>
          <w:rFonts w:ascii="Garamond" w:hAnsi="Garamond"/>
          <w:sz w:val="24"/>
          <w:szCs w:val="24"/>
        </w:rPr>
        <w:t xml:space="preserve">rendere la narrativa che precede parte integrante del presente dispositivo; </w:t>
      </w:r>
    </w:p>
    <w:p w:rsidR="00AF7C81" w:rsidRDefault="00D12948" w:rsidP="0079268B">
      <w:pPr>
        <w:pStyle w:val="Paragrafoelenco"/>
        <w:numPr>
          <w:ilvl w:val="0"/>
          <w:numId w:val="10"/>
        </w:numPr>
        <w:spacing w:before="240" w:after="240" w:line="276" w:lineRule="auto"/>
        <w:jc w:val="both"/>
        <w:rPr>
          <w:rFonts w:ascii="Garamond" w:hAnsi="Garamond"/>
          <w:sz w:val="24"/>
          <w:szCs w:val="24"/>
        </w:rPr>
      </w:pPr>
      <w:r w:rsidRPr="00AF7C81">
        <w:rPr>
          <w:rFonts w:ascii="Garamond" w:hAnsi="Garamond"/>
          <w:sz w:val="24"/>
          <w:szCs w:val="24"/>
        </w:rPr>
        <w:t xml:space="preserve">di </w:t>
      </w:r>
      <w:r w:rsidR="00AF7C81" w:rsidRPr="00AF7C81">
        <w:rPr>
          <w:rFonts w:ascii="Garamond" w:hAnsi="Garamond"/>
          <w:sz w:val="24"/>
          <w:szCs w:val="24"/>
        </w:rPr>
        <w:t xml:space="preserve">indire la procedura </w:t>
      </w:r>
      <w:r w:rsidR="00C36353">
        <w:rPr>
          <w:rFonts w:ascii="Garamond" w:hAnsi="Garamond"/>
          <w:sz w:val="24"/>
          <w:szCs w:val="24"/>
        </w:rPr>
        <w:t>ristretta</w:t>
      </w:r>
      <w:r w:rsidR="008851A9">
        <w:rPr>
          <w:rFonts w:ascii="Garamond" w:hAnsi="Garamond"/>
          <w:sz w:val="24"/>
          <w:szCs w:val="24"/>
        </w:rPr>
        <w:t xml:space="preserve"> accelerata</w:t>
      </w:r>
      <w:r w:rsidR="00AF7C81" w:rsidRPr="00AF7C81">
        <w:rPr>
          <w:rFonts w:ascii="Garamond" w:hAnsi="Garamond"/>
          <w:sz w:val="24"/>
          <w:szCs w:val="24"/>
        </w:rPr>
        <w:t>, previo bando di gara ai sensi dell’art. 6</w:t>
      </w:r>
      <w:r w:rsidR="00C36353">
        <w:rPr>
          <w:rFonts w:ascii="Garamond" w:hAnsi="Garamond"/>
          <w:sz w:val="24"/>
          <w:szCs w:val="24"/>
        </w:rPr>
        <w:t>1</w:t>
      </w:r>
      <w:r w:rsidR="00AF7C81" w:rsidRPr="00AF7C81">
        <w:rPr>
          <w:rFonts w:ascii="Garamond" w:hAnsi="Garamond"/>
          <w:sz w:val="24"/>
          <w:szCs w:val="24"/>
        </w:rPr>
        <w:t xml:space="preserve"> del D.Lgs. 50/2016;</w:t>
      </w:r>
    </w:p>
    <w:p w:rsidR="00587F29" w:rsidRDefault="00587F29" w:rsidP="0079268B">
      <w:pPr>
        <w:pStyle w:val="Paragrafoelenco"/>
        <w:numPr>
          <w:ilvl w:val="0"/>
          <w:numId w:val="10"/>
        </w:numPr>
        <w:spacing w:before="240" w:after="240" w:line="276" w:lineRule="auto"/>
        <w:jc w:val="both"/>
        <w:rPr>
          <w:rFonts w:ascii="Garamond" w:hAnsi="Garamond"/>
          <w:sz w:val="24"/>
          <w:szCs w:val="24"/>
        </w:rPr>
      </w:pPr>
      <w:r>
        <w:rPr>
          <w:rFonts w:ascii="Garamond" w:hAnsi="Garamond"/>
          <w:sz w:val="24"/>
          <w:szCs w:val="24"/>
        </w:rPr>
        <w:t>di dare atto che, ai sensi dell’articolo 32, comma 2, del D.Lgs. 50/2016:</w:t>
      </w:r>
    </w:p>
    <w:p w:rsidR="00587F29" w:rsidRDefault="00587F29" w:rsidP="0079268B">
      <w:pPr>
        <w:pStyle w:val="Paragrafoelenco"/>
        <w:numPr>
          <w:ilvl w:val="0"/>
          <w:numId w:val="12"/>
        </w:numPr>
        <w:spacing w:before="240" w:after="240" w:line="276" w:lineRule="auto"/>
        <w:jc w:val="both"/>
        <w:rPr>
          <w:rFonts w:ascii="Garamond" w:hAnsi="Garamond"/>
          <w:sz w:val="24"/>
          <w:szCs w:val="24"/>
        </w:rPr>
      </w:pPr>
      <w:r>
        <w:rPr>
          <w:rFonts w:ascii="Garamond" w:hAnsi="Garamond"/>
          <w:sz w:val="24"/>
          <w:szCs w:val="24"/>
        </w:rPr>
        <w:t>il fine del contratto è quello di provvedere all’affidamento della fornitura di farmaco, parafarmaco, prodotti da farmacia e servizi connessi alle farmacie gestite da AMES SpA;</w:t>
      </w:r>
    </w:p>
    <w:p w:rsidR="00587F29" w:rsidRDefault="00587F29" w:rsidP="0079268B">
      <w:pPr>
        <w:pStyle w:val="Paragrafoelenco"/>
        <w:numPr>
          <w:ilvl w:val="0"/>
          <w:numId w:val="12"/>
        </w:numPr>
        <w:spacing w:before="240" w:after="240" w:line="276" w:lineRule="auto"/>
        <w:jc w:val="both"/>
        <w:rPr>
          <w:rFonts w:ascii="Garamond" w:hAnsi="Garamond"/>
          <w:sz w:val="24"/>
          <w:szCs w:val="24"/>
        </w:rPr>
      </w:pPr>
      <w:r>
        <w:rPr>
          <w:rFonts w:ascii="Garamond" w:hAnsi="Garamond"/>
          <w:sz w:val="24"/>
          <w:szCs w:val="24"/>
        </w:rPr>
        <w:t>Il contratto, con imposta di bollo a carico dell’aggiudicatario, sarà stipulato in formato elettronico con firma digitale;</w:t>
      </w:r>
    </w:p>
    <w:p w:rsidR="00587F29" w:rsidRDefault="00587F29" w:rsidP="0079268B">
      <w:pPr>
        <w:pStyle w:val="Paragrafoelenco"/>
        <w:numPr>
          <w:ilvl w:val="0"/>
          <w:numId w:val="12"/>
        </w:numPr>
        <w:spacing w:before="240" w:after="240" w:line="276" w:lineRule="auto"/>
        <w:jc w:val="both"/>
        <w:rPr>
          <w:rFonts w:ascii="Garamond" w:hAnsi="Garamond"/>
          <w:sz w:val="24"/>
          <w:szCs w:val="24"/>
        </w:rPr>
      </w:pPr>
      <w:r>
        <w:rPr>
          <w:rFonts w:ascii="Garamond" w:hAnsi="Garamond"/>
          <w:sz w:val="24"/>
          <w:szCs w:val="24"/>
        </w:rPr>
        <w:t>L’esecuzione della prestazione dovrà svolgersi nell’arco di tre anni decorrenti dalla data di sottoscrizione del contratto;</w:t>
      </w:r>
    </w:p>
    <w:p w:rsidR="00587F29" w:rsidRDefault="00587F29" w:rsidP="0079268B">
      <w:pPr>
        <w:pStyle w:val="Paragrafoelenco"/>
        <w:numPr>
          <w:ilvl w:val="0"/>
          <w:numId w:val="12"/>
        </w:numPr>
        <w:spacing w:before="240" w:after="240" w:line="276" w:lineRule="auto"/>
        <w:jc w:val="both"/>
        <w:rPr>
          <w:rFonts w:ascii="Garamond" w:hAnsi="Garamond"/>
          <w:sz w:val="24"/>
          <w:szCs w:val="24"/>
        </w:rPr>
      </w:pPr>
      <w:r>
        <w:rPr>
          <w:rFonts w:ascii="Garamond" w:hAnsi="Garamond"/>
          <w:sz w:val="24"/>
          <w:szCs w:val="24"/>
        </w:rPr>
        <w:t xml:space="preserve">L’importo complessivo a base d’asta dell’appalto, IVA esclusa, ma onnicomprensivo degli oneri per la sicurezza da interferenza ammonta ad € </w:t>
      </w:r>
      <w:r w:rsidR="00D928A0">
        <w:rPr>
          <w:rFonts w:ascii="Garamond" w:hAnsi="Garamond"/>
          <w:sz w:val="24"/>
          <w:szCs w:val="24"/>
        </w:rPr>
        <w:t>17</w:t>
      </w:r>
      <w:r>
        <w:rPr>
          <w:rFonts w:ascii="Garamond" w:hAnsi="Garamond"/>
          <w:sz w:val="24"/>
          <w:szCs w:val="24"/>
        </w:rPr>
        <w:t>.</w:t>
      </w:r>
      <w:r w:rsidR="00D928A0">
        <w:rPr>
          <w:rFonts w:ascii="Garamond" w:hAnsi="Garamond"/>
          <w:sz w:val="24"/>
          <w:szCs w:val="24"/>
        </w:rPr>
        <w:t>900</w:t>
      </w:r>
      <w:r>
        <w:rPr>
          <w:rFonts w:ascii="Garamond" w:hAnsi="Garamond"/>
          <w:sz w:val="24"/>
          <w:szCs w:val="24"/>
        </w:rPr>
        <w:t>.000,00=</w:t>
      </w:r>
    </w:p>
    <w:p w:rsidR="00D928A0" w:rsidRDefault="00D928A0" w:rsidP="0079268B">
      <w:pPr>
        <w:pStyle w:val="Paragrafoelenco"/>
        <w:numPr>
          <w:ilvl w:val="0"/>
          <w:numId w:val="12"/>
        </w:numPr>
        <w:spacing w:before="240" w:after="240" w:line="276" w:lineRule="auto"/>
        <w:jc w:val="both"/>
        <w:rPr>
          <w:rFonts w:ascii="Garamond" w:hAnsi="Garamond"/>
          <w:sz w:val="24"/>
          <w:szCs w:val="24"/>
        </w:rPr>
      </w:pPr>
      <w:r w:rsidRPr="00D928A0">
        <w:rPr>
          <w:rFonts w:ascii="Garamond" w:hAnsi="Garamond"/>
          <w:sz w:val="24"/>
          <w:szCs w:val="24"/>
        </w:rPr>
        <w:t>Ai fini dell’art. 35, comma 4 del Codice, il valore massimo stimato dell’appalto,</w:t>
      </w:r>
      <w:r w:rsidR="00E02F2D">
        <w:rPr>
          <w:rFonts w:ascii="Garamond" w:hAnsi="Garamond"/>
          <w:sz w:val="24"/>
          <w:szCs w:val="24"/>
        </w:rPr>
        <w:t xml:space="preserve"> comprensivo di opzioni e proroga tecnica</w:t>
      </w:r>
      <w:r w:rsidRPr="00D928A0">
        <w:rPr>
          <w:rFonts w:ascii="Garamond" w:hAnsi="Garamond"/>
          <w:sz w:val="24"/>
          <w:szCs w:val="24"/>
        </w:rPr>
        <w:t xml:space="preserve"> è pari ad € 24.46</w:t>
      </w:r>
      <w:r w:rsidR="008A4637">
        <w:rPr>
          <w:rFonts w:ascii="Garamond" w:hAnsi="Garamond"/>
          <w:sz w:val="24"/>
          <w:szCs w:val="24"/>
        </w:rPr>
        <w:t>5</w:t>
      </w:r>
      <w:r w:rsidRPr="00D928A0">
        <w:rPr>
          <w:rFonts w:ascii="Garamond" w:hAnsi="Garamond"/>
          <w:sz w:val="24"/>
          <w:szCs w:val="24"/>
        </w:rPr>
        <w:t>.000,00</w:t>
      </w:r>
      <w:r w:rsidR="00E02F2D">
        <w:rPr>
          <w:rFonts w:ascii="Garamond" w:hAnsi="Garamond"/>
          <w:sz w:val="24"/>
          <w:szCs w:val="24"/>
        </w:rPr>
        <w:t>=</w:t>
      </w:r>
      <w:r w:rsidRPr="00D928A0">
        <w:rPr>
          <w:rFonts w:ascii="Garamond" w:hAnsi="Garamond"/>
          <w:i/>
          <w:sz w:val="24"/>
          <w:szCs w:val="24"/>
        </w:rPr>
        <w:t xml:space="preserve"> </w:t>
      </w:r>
      <w:r w:rsidRPr="00D928A0">
        <w:rPr>
          <w:rFonts w:ascii="Garamond" w:hAnsi="Garamond"/>
          <w:sz w:val="24"/>
          <w:szCs w:val="24"/>
        </w:rPr>
        <w:t>al netto di Iva e/o di altre imposte e contributi di legge</w:t>
      </w:r>
      <w:r w:rsidR="00E02F2D">
        <w:rPr>
          <w:rFonts w:ascii="Garamond" w:hAnsi="Garamond"/>
          <w:sz w:val="24"/>
          <w:szCs w:val="24"/>
        </w:rPr>
        <w:t>.</w:t>
      </w:r>
    </w:p>
    <w:p w:rsidR="00587F29" w:rsidRDefault="00587F29" w:rsidP="0079268B">
      <w:pPr>
        <w:pStyle w:val="Paragrafoelenco"/>
        <w:numPr>
          <w:ilvl w:val="0"/>
          <w:numId w:val="12"/>
        </w:numPr>
        <w:spacing w:before="240" w:after="240" w:line="276" w:lineRule="auto"/>
        <w:jc w:val="both"/>
        <w:rPr>
          <w:rFonts w:ascii="Garamond" w:hAnsi="Garamond"/>
          <w:sz w:val="24"/>
          <w:szCs w:val="24"/>
        </w:rPr>
      </w:pPr>
      <w:r>
        <w:rPr>
          <w:rFonts w:ascii="Garamond" w:hAnsi="Garamond"/>
          <w:sz w:val="24"/>
          <w:szCs w:val="24"/>
        </w:rPr>
        <w:t>Il contraente sarà scelto tramite procedura</w:t>
      </w:r>
      <w:r w:rsidR="00C36353">
        <w:rPr>
          <w:rFonts w:ascii="Garamond" w:hAnsi="Garamond"/>
          <w:sz w:val="24"/>
          <w:szCs w:val="24"/>
        </w:rPr>
        <w:t xml:space="preserve"> ristretta</w:t>
      </w:r>
      <w:r w:rsidR="00E02F2D">
        <w:rPr>
          <w:rFonts w:ascii="Garamond" w:hAnsi="Garamond"/>
          <w:sz w:val="24"/>
          <w:szCs w:val="24"/>
        </w:rPr>
        <w:t xml:space="preserve"> accelerata</w:t>
      </w:r>
      <w:r>
        <w:rPr>
          <w:rFonts w:ascii="Garamond" w:hAnsi="Garamond"/>
          <w:sz w:val="24"/>
          <w:szCs w:val="24"/>
        </w:rPr>
        <w:t xml:space="preserve"> previa pubblicazione di un bando di gara ai sensi dell’art. 61 del D.Lgs. 50/2016 e l’aggiudicazione avverrà sulla base del criterio dell’offerta economicamente più vantaggiosa ai sensi dell’articolo 95 del D.Lgs. 50/2016;</w:t>
      </w:r>
    </w:p>
    <w:p w:rsidR="00587F29" w:rsidRDefault="00587F29" w:rsidP="0079268B">
      <w:pPr>
        <w:pStyle w:val="Paragrafoelenco"/>
        <w:numPr>
          <w:ilvl w:val="0"/>
          <w:numId w:val="10"/>
        </w:numPr>
        <w:spacing w:before="240" w:after="240" w:line="276" w:lineRule="auto"/>
        <w:jc w:val="both"/>
        <w:rPr>
          <w:rFonts w:ascii="Garamond" w:hAnsi="Garamond"/>
          <w:sz w:val="24"/>
          <w:szCs w:val="24"/>
        </w:rPr>
      </w:pPr>
      <w:r>
        <w:rPr>
          <w:rFonts w:ascii="Garamond" w:hAnsi="Garamond"/>
          <w:sz w:val="24"/>
          <w:szCs w:val="24"/>
        </w:rPr>
        <w:t>Di approvare la lex specialis di gara e, segnatamente, il progetto, il bando di gara, il capitolato speciale d’appalto, il disciplinare e relativi allegati che, inclusi nel presente provvedimento, ne costituiscono parte integrante ed essenziale;</w:t>
      </w:r>
    </w:p>
    <w:p w:rsidR="00587F29" w:rsidRDefault="00587F29" w:rsidP="0079268B">
      <w:pPr>
        <w:pStyle w:val="Paragrafoelenco"/>
        <w:numPr>
          <w:ilvl w:val="0"/>
          <w:numId w:val="10"/>
        </w:numPr>
        <w:spacing w:before="240" w:after="240" w:line="276" w:lineRule="auto"/>
        <w:jc w:val="both"/>
        <w:rPr>
          <w:rFonts w:ascii="Garamond" w:hAnsi="Garamond"/>
          <w:sz w:val="24"/>
          <w:szCs w:val="24"/>
        </w:rPr>
      </w:pPr>
      <w:r>
        <w:rPr>
          <w:rFonts w:ascii="Garamond" w:hAnsi="Garamond"/>
          <w:sz w:val="24"/>
          <w:szCs w:val="24"/>
        </w:rPr>
        <w:t xml:space="preserve">Di nominare </w:t>
      </w:r>
      <w:r w:rsidR="008A4637">
        <w:rPr>
          <w:rFonts w:ascii="Garamond" w:hAnsi="Garamond"/>
          <w:sz w:val="24"/>
          <w:szCs w:val="24"/>
        </w:rPr>
        <w:t xml:space="preserve">la dott.ssa Silvia Spignesi </w:t>
      </w:r>
      <w:r>
        <w:rPr>
          <w:rFonts w:ascii="Garamond" w:hAnsi="Garamond"/>
          <w:sz w:val="24"/>
          <w:szCs w:val="24"/>
        </w:rPr>
        <w:t>Responsabile Unico del Procedimento ai sensi dell’articolo 31 D.Lgs. 50/2016;</w:t>
      </w:r>
    </w:p>
    <w:p w:rsidR="00587F29" w:rsidRDefault="00587F29" w:rsidP="0079268B">
      <w:pPr>
        <w:pStyle w:val="Paragrafoelenco"/>
        <w:numPr>
          <w:ilvl w:val="0"/>
          <w:numId w:val="10"/>
        </w:numPr>
        <w:spacing w:before="240" w:after="240" w:line="276" w:lineRule="auto"/>
        <w:jc w:val="both"/>
        <w:rPr>
          <w:rFonts w:ascii="Garamond" w:hAnsi="Garamond"/>
          <w:sz w:val="24"/>
          <w:szCs w:val="24"/>
        </w:rPr>
      </w:pPr>
      <w:r>
        <w:rPr>
          <w:rFonts w:ascii="Garamond" w:hAnsi="Garamond"/>
          <w:sz w:val="24"/>
          <w:szCs w:val="24"/>
        </w:rPr>
        <w:t xml:space="preserve">Di nominare </w:t>
      </w:r>
      <w:r w:rsidR="008A4637">
        <w:rPr>
          <w:rFonts w:ascii="Garamond" w:hAnsi="Garamond"/>
          <w:sz w:val="24"/>
          <w:szCs w:val="24"/>
        </w:rPr>
        <w:t>il dott. Gino Chioetto</w:t>
      </w:r>
      <w:r>
        <w:rPr>
          <w:rFonts w:ascii="Garamond" w:hAnsi="Garamond"/>
          <w:sz w:val="24"/>
          <w:szCs w:val="24"/>
        </w:rPr>
        <w:t xml:space="preserve"> Direttore dell’esecuzione del presente appalto;</w:t>
      </w:r>
    </w:p>
    <w:p w:rsidR="00587F29" w:rsidRDefault="00587F29" w:rsidP="0079268B">
      <w:pPr>
        <w:pStyle w:val="Paragrafoelenco"/>
        <w:numPr>
          <w:ilvl w:val="0"/>
          <w:numId w:val="10"/>
        </w:numPr>
        <w:spacing w:before="240" w:after="240" w:line="276" w:lineRule="auto"/>
        <w:jc w:val="both"/>
        <w:rPr>
          <w:rFonts w:ascii="Garamond" w:hAnsi="Garamond"/>
          <w:sz w:val="24"/>
          <w:szCs w:val="24"/>
        </w:rPr>
      </w:pPr>
      <w:r>
        <w:rPr>
          <w:rFonts w:ascii="Garamond" w:hAnsi="Garamond"/>
          <w:sz w:val="24"/>
          <w:szCs w:val="24"/>
        </w:rPr>
        <w:t>D</w:t>
      </w:r>
      <w:r w:rsidR="00EF4AA0" w:rsidRPr="00587F29">
        <w:rPr>
          <w:rFonts w:ascii="Garamond" w:hAnsi="Garamond"/>
          <w:sz w:val="24"/>
          <w:szCs w:val="24"/>
        </w:rPr>
        <w:t xml:space="preserve">i dare atto che, ai sensi dell’art. 29 del d.lgs 50/2015, tutti gli atti relativi alla procedura in oggetto saranno pubblicati e aggiornati sul profilo del committente, nella sezione “Società trasparente”, </w:t>
      </w:r>
      <w:r>
        <w:rPr>
          <w:rFonts w:ascii="Garamond" w:hAnsi="Garamond"/>
          <w:sz w:val="24"/>
          <w:szCs w:val="24"/>
        </w:rPr>
        <w:t xml:space="preserve">in </w:t>
      </w:r>
      <w:r w:rsidR="00EF4AA0" w:rsidRPr="00587F29">
        <w:rPr>
          <w:rFonts w:ascii="Garamond" w:hAnsi="Garamond"/>
          <w:sz w:val="24"/>
          <w:szCs w:val="24"/>
        </w:rPr>
        <w:t>applicazione delle disposizioni di cui al decreto legislativo 14 marzo 2013, n. 33;</w:t>
      </w:r>
    </w:p>
    <w:p w:rsidR="006D2A42" w:rsidRPr="00587F29" w:rsidRDefault="006D2A42" w:rsidP="0079268B">
      <w:pPr>
        <w:pStyle w:val="Paragrafoelenco"/>
        <w:numPr>
          <w:ilvl w:val="0"/>
          <w:numId w:val="10"/>
        </w:numPr>
        <w:spacing w:before="240" w:after="240" w:line="276" w:lineRule="auto"/>
        <w:jc w:val="both"/>
        <w:rPr>
          <w:rFonts w:ascii="Garamond" w:hAnsi="Garamond"/>
          <w:sz w:val="24"/>
          <w:szCs w:val="24"/>
        </w:rPr>
      </w:pPr>
      <w:r w:rsidRPr="00587F29">
        <w:rPr>
          <w:rFonts w:ascii="Garamond" w:hAnsi="Garamond"/>
          <w:sz w:val="24"/>
          <w:szCs w:val="24"/>
        </w:rPr>
        <w:t>di trasmettere il presente atto determinativo al R.U.P., all’Ufficio Gare e Contratti e al R.P.C.T. per i successivi incombenti.</w:t>
      </w:r>
    </w:p>
    <w:p w:rsidR="006D2A42" w:rsidRPr="005D5FA8" w:rsidRDefault="006D2A42" w:rsidP="00C36353">
      <w:pPr>
        <w:spacing w:line="276" w:lineRule="auto"/>
        <w:jc w:val="both"/>
        <w:outlineLvl w:val="0"/>
        <w:rPr>
          <w:rFonts w:ascii="Garamond" w:hAnsi="Garamond"/>
          <w:sz w:val="24"/>
          <w:szCs w:val="24"/>
        </w:rPr>
      </w:pP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00A21462" w:rsidRPr="005D5FA8">
        <w:rPr>
          <w:rFonts w:ascii="Garamond" w:hAnsi="Garamond"/>
          <w:sz w:val="24"/>
          <w:szCs w:val="24"/>
        </w:rPr>
        <w:tab/>
      </w:r>
      <w:r w:rsidRPr="005D5FA8">
        <w:rPr>
          <w:rFonts w:ascii="Garamond" w:hAnsi="Garamond"/>
          <w:sz w:val="24"/>
          <w:szCs w:val="24"/>
        </w:rPr>
        <w:t>Il Direttore Generale</w:t>
      </w:r>
    </w:p>
    <w:p w:rsidR="006D2A42" w:rsidRPr="005D5FA8" w:rsidRDefault="006D2A42" w:rsidP="0079268B">
      <w:pPr>
        <w:spacing w:line="276" w:lineRule="auto"/>
        <w:jc w:val="both"/>
        <w:rPr>
          <w:rFonts w:ascii="Garamond" w:hAnsi="Garamond"/>
          <w:sz w:val="24"/>
          <w:szCs w:val="24"/>
        </w:rPr>
      </w:pP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t xml:space="preserve">     </w:t>
      </w:r>
      <w:r w:rsidR="008A4637">
        <w:rPr>
          <w:rFonts w:ascii="Garamond" w:hAnsi="Garamond"/>
          <w:sz w:val="24"/>
          <w:szCs w:val="24"/>
        </w:rPr>
        <w:t xml:space="preserve">     </w:t>
      </w:r>
      <w:r w:rsidRPr="005D5FA8">
        <w:rPr>
          <w:rFonts w:ascii="Garamond" w:hAnsi="Garamond"/>
          <w:sz w:val="24"/>
          <w:szCs w:val="24"/>
        </w:rPr>
        <w:t>Dott. Nicola Cattozzo</w:t>
      </w:r>
    </w:p>
    <w:p w:rsidR="00C15E53" w:rsidRPr="005D5FA8" w:rsidRDefault="00C15E53" w:rsidP="0079268B">
      <w:pPr>
        <w:spacing w:line="276" w:lineRule="auto"/>
        <w:jc w:val="both"/>
        <w:rPr>
          <w:rFonts w:ascii="Garamond" w:hAnsi="Garamond"/>
          <w:b/>
          <w:sz w:val="24"/>
          <w:szCs w:val="24"/>
        </w:rPr>
      </w:pPr>
    </w:p>
    <w:p w:rsidR="00C15E53" w:rsidRPr="005D5FA8" w:rsidRDefault="00C15E53" w:rsidP="0079268B">
      <w:pPr>
        <w:spacing w:line="276" w:lineRule="auto"/>
        <w:jc w:val="both"/>
        <w:rPr>
          <w:rFonts w:ascii="Garamond" w:hAnsi="Garamond"/>
          <w:b/>
          <w:sz w:val="24"/>
          <w:szCs w:val="24"/>
        </w:rPr>
      </w:pPr>
    </w:p>
    <w:sectPr w:rsidR="00C15E53" w:rsidRPr="005D5FA8" w:rsidSect="00614A07">
      <w:headerReference w:type="default" r:id="rId8"/>
      <w:footerReference w:type="default" r:id="rId9"/>
      <w:pgSz w:w="11906" w:h="16838" w:code="9"/>
      <w:pgMar w:top="1985"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88A" w:rsidRDefault="0034388A" w:rsidP="009805A0">
      <w:r>
        <w:separator/>
      </w:r>
    </w:p>
  </w:endnote>
  <w:endnote w:type="continuationSeparator" w:id="0">
    <w:p w:rsidR="0034388A" w:rsidRDefault="0034388A" w:rsidP="009805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1EF" w:rsidRDefault="000F53BB" w:rsidP="000A385F">
    <w:pPr>
      <w:pStyle w:val="Pidipagina"/>
      <w:jc w:val="center"/>
    </w:pPr>
    <w:r>
      <w:rPr>
        <w:noProof/>
        <w:lang w:eastAsia="it-IT"/>
      </w:rPr>
      <w:drawing>
        <wp:anchor distT="0" distB="0" distL="114300" distR="114300" simplePos="0" relativeHeight="251662848" behindDoc="1" locked="0" layoutInCell="1" allowOverlap="1">
          <wp:simplePos x="0" y="0"/>
          <wp:positionH relativeFrom="column">
            <wp:posOffset>5918835</wp:posOffset>
          </wp:positionH>
          <wp:positionV relativeFrom="paragraph">
            <wp:posOffset>47213</wp:posOffset>
          </wp:positionV>
          <wp:extent cx="467995" cy="467995"/>
          <wp:effectExtent l="0" t="0" r="8255" b="825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 9001_co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7995" cy="467995"/>
                  </a:xfrm>
                  <a:prstGeom prst="rect">
                    <a:avLst/>
                  </a:prstGeom>
                </pic:spPr>
              </pic:pic>
            </a:graphicData>
          </a:graphic>
        </wp:anchor>
      </w:drawing>
    </w:r>
    <w:r>
      <w:rPr>
        <w:noProof/>
        <w:lang w:eastAsia="it-IT"/>
      </w:rPr>
      <w:drawing>
        <wp:anchor distT="0" distB="0" distL="114300" distR="114300" simplePos="0" relativeHeight="251663872" behindDoc="1" locked="0" layoutInCell="1" allowOverlap="1">
          <wp:simplePos x="0" y="0"/>
          <wp:positionH relativeFrom="column">
            <wp:posOffset>5539740</wp:posOffset>
          </wp:positionH>
          <wp:positionV relativeFrom="paragraph">
            <wp:posOffset>93757</wp:posOffset>
          </wp:positionV>
          <wp:extent cx="287655" cy="359410"/>
          <wp:effectExtent l="0" t="0" r="0"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io ACCREDIA Organizzazioni certificate_150.jpe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7655" cy="359410"/>
                  </a:xfrm>
                  <a:prstGeom prst="rect">
                    <a:avLst/>
                  </a:prstGeom>
                </pic:spPr>
              </pic:pic>
            </a:graphicData>
          </a:graphic>
        </wp:anchor>
      </w:drawing>
    </w:r>
    <w:r w:rsidR="00AC2B40">
      <w:rPr>
        <w:noProof/>
        <w:lang w:eastAsia="it-IT"/>
      </w:rPr>
      <w:pict>
        <v:shapetype id="_x0000_t32" coordsize="21600,21600" o:spt="32" o:oned="t" path="m,l21600,21600e" filled="f">
          <v:path arrowok="t" fillok="f" o:connecttype="none"/>
          <o:lock v:ext="edit" shapetype="t"/>
        </v:shapetype>
        <v:shape id="AutoShape 2" o:spid="_x0000_s1026" type="#_x0000_t32" style="position:absolute;left:0;text-align:left;margin-left:-58.2pt;margin-top:4.95pt;width:594pt;height:0;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" strokecolor="#c0504d [3205]" strokeweight="1pt">
          <v:shadow color="#622423 [1605]" offset="1pt"/>
        </v:shape>
      </w:pict>
    </w:r>
    <w:r w:rsidR="00AC2B40">
      <w:rPr>
        <w:noProof/>
        <w:lang w:eastAsia="it-IT"/>
      </w:rPr>
      <w:pict>
        <v:shapetype id="_x0000_t202" coordsize="21600,21600" o:spt="202" path="m,l,21600r21600,l21600,xe">
          <v:stroke joinstyle="miter"/>
          <v:path gradientshapeok="t" o:connecttype="rect"/>
        </v:shapetype>
        <v:shape id="Text Box 3" o:spid="_x0000_s1028" type="#_x0000_t202" style="position:absolute;left:0;text-align:left;margin-left:62.55pt;margin-top:10.9pt;width:359.25pt;height:43.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" filled="f" stroked="f">
          <v:textbox>
            <w:txbxContent>
              <w:p w:rsidR="000A385F" w:rsidRPr="000A385F" w:rsidRDefault="000A385F" w:rsidP="000A385F">
                <w:pPr>
                  <w:pStyle w:val="Pidipagina"/>
                  <w:jc w:val="center"/>
                  <w:rPr>
                    <w:color w:val="808080" w:themeColor="background1" w:themeShade="80"/>
                    <w:sz w:val="18"/>
                    <w:szCs w:val="18"/>
                  </w:rPr>
                </w:pPr>
                <w:r w:rsidRPr="000A385F">
                  <w:rPr>
                    <w:color w:val="808080" w:themeColor="background1" w:themeShade="80"/>
                    <w:sz w:val="18"/>
                    <w:szCs w:val="18"/>
                  </w:rPr>
                  <w:t>A.M.E.S. SpA – Società controllata dal Comune di Venezia – Capitale Sociale € 1.029.600 i.v.</w:t>
                </w:r>
              </w:p>
              <w:p w:rsidR="001601EF" w:rsidRDefault="000A385F" w:rsidP="000A385F">
                <w:pPr>
                  <w:pStyle w:val="Pidipagina"/>
                  <w:jc w:val="center"/>
                  <w:rPr>
                    <w:color w:val="808080" w:themeColor="background1" w:themeShade="80"/>
                    <w:sz w:val="18"/>
                    <w:szCs w:val="18"/>
                  </w:rPr>
                </w:pPr>
                <w:r w:rsidRPr="000A385F">
                  <w:rPr>
                    <w:color w:val="808080" w:themeColor="background1" w:themeShade="80"/>
                    <w:sz w:val="18"/>
                    <w:szCs w:val="18"/>
                  </w:rPr>
                  <w:t>30135 VENEZIA Isola Nova del Tronchetto 14, Tel. 04</w:t>
                </w:r>
                <w:r w:rsidR="001601EF">
                  <w:rPr>
                    <w:color w:val="808080" w:themeColor="background1" w:themeShade="80"/>
                    <w:sz w:val="18"/>
                    <w:szCs w:val="18"/>
                  </w:rPr>
                  <w:t xml:space="preserve">1 2967200 -  Fax  041 2967290 </w:t>
                </w:r>
              </w:p>
              <w:p w:rsidR="000A385F" w:rsidRPr="000A385F" w:rsidRDefault="000A385F" w:rsidP="000A385F">
                <w:pPr>
                  <w:pStyle w:val="Pidipagina"/>
                  <w:jc w:val="center"/>
                  <w:rPr>
                    <w:color w:val="808080" w:themeColor="background1" w:themeShade="80"/>
                    <w:sz w:val="18"/>
                    <w:szCs w:val="18"/>
                  </w:rPr>
                </w:pPr>
                <w:r w:rsidRPr="000A385F">
                  <w:rPr>
                    <w:color w:val="808080" w:themeColor="background1" w:themeShade="80"/>
                    <w:sz w:val="18"/>
                    <w:szCs w:val="18"/>
                  </w:rPr>
                  <w:t>e-mail: ames.ve@amesvenezia.itCod. Fisc., PIVA e Reg. Imprese Venezia 02979860273</w:t>
                </w:r>
              </w:p>
              <w:p w:rsidR="000A385F" w:rsidRDefault="000A385F"/>
            </w:txbxContent>
          </v:textbox>
        </v:shape>
      </w:pict>
    </w:r>
  </w:p>
  <w:p w:rsidR="000A385F" w:rsidRDefault="00AC2B40" w:rsidP="000A385F">
    <w:pPr>
      <w:pStyle w:val="Pidipagina"/>
      <w:jc w:val="center"/>
    </w:pPr>
    <w:r>
      <w:rPr>
        <w:noProof/>
        <w:lang w:eastAsia="it-IT"/>
      </w:rPr>
      <w:pict>
        <v:shape id="Casella di testo 6" o:spid="_x0000_s1027" type="#_x0000_t202" style="position:absolute;left:0;text-align:left;margin-left:463.25pt;margin-top:20.1pt;width:62.25pt;height:25.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" o:allowincell="f" filled="f" stroked="f" strokeweight=".5pt">
          <v:textbox>
            <w:txbxContent>
              <w:p w:rsidR="00130AE4" w:rsidRPr="000F53BB" w:rsidRDefault="00130AE4">
                <w:pPr>
                  <w:rPr>
                    <w:color w:val="A6A6A6" w:themeColor="background1" w:themeShade="A6"/>
                    <w:sz w:val="10"/>
                    <w:szCs w:val="10"/>
                  </w:rPr>
                </w:pPr>
                <w:r w:rsidRPr="000F53BB">
                  <w:rPr>
                    <w:color w:val="A6A6A6" w:themeColor="background1" w:themeShade="A6"/>
                    <w:sz w:val="10"/>
                    <w:szCs w:val="10"/>
                  </w:rPr>
                  <w:t>Certificato</w:t>
                </w:r>
              </w:p>
              <w:p w:rsidR="00130AE4" w:rsidRPr="000F53BB" w:rsidRDefault="00130AE4">
                <w:pPr>
                  <w:rPr>
                    <w:color w:val="A6A6A6" w:themeColor="background1" w:themeShade="A6"/>
                    <w:sz w:val="10"/>
                    <w:szCs w:val="10"/>
                  </w:rPr>
                </w:pPr>
                <w:r w:rsidRPr="000F53BB">
                  <w:rPr>
                    <w:color w:val="A6A6A6" w:themeColor="background1" w:themeShade="A6"/>
                    <w:sz w:val="10"/>
                    <w:szCs w:val="10"/>
                  </w:rPr>
                  <w:t>N° IT04/0210</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88A" w:rsidRDefault="0034388A" w:rsidP="009805A0">
      <w:r>
        <w:separator/>
      </w:r>
    </w:p>
  </w:footnote>
  <w:footnote w:type="continuationSeparator" w:id="0">
    <w:p w:rsidR="0034388A" w:rsidRDefault="0034388A" w:rsidP="00980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AE4" w:rsidRDefault="006870E6" w:rsidP="00130AE4">
    <w:pPr>
      <w:pStyle w:val="Intestazione"/>
    </w:pPr>
    <w:r>
      <w:rPr>
        <w:noProof/>
        <w:lang w:eastAsia="it-IT"/>
      </w:rPr>
      <w:drawing>
        <wp:anchor distT="0" distB="0" distL="114300" distR="114300" simplePos="0" relativeHeight="251655680" behindDoc="0" locked="0" layoutInCell="1" allowOverlap="1">
          <wp:simplePos x="0" y="0"/>
          <wp:positionH relativeFrom="column">
            <wp:posOffset>-529590</wp:posOffset>
          </wp:positionH>
          <wp:positionV relativeFrom="paragraph">
            <wp:posOffset>-265207</wp:posOffset>
          </wp:positionV>
          <wp:extent cx="2210400" cy="1080000"/>
          <wp:effectExtent l="0" t="0" r="0"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S_AZIENDA_02.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10400" cy="1080000"/>
                  </a:xfrm>
                  <a:prstGeom prst="rect">
                    <a:avLst/>
                  </a:prstGeom>
                </pic:spPr>
              </pic:pic>
            </a:graphicData>
          </a:graphic>
        </wp:anchor>
      </w:drawing>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r w:rsidR="00130AE4">
      <w:tab/>
    </w:r>
  </w:p>
  <w:p w:rsidR="00130AE4" w:rsidRDefault="00130AE4" w:rsidP="006870E6">
    <w:pPr>
      <w:pStyle w:val="Intestazione"/>
      <w:jc w:val="right"/>
    </w:pPr>
  </w:p>
  <w:p w:rsidR="00130AE4" w:rsidRDefault="00130AE4" w:rsidP="00130AE4">
    <w:pPr>
      <w:pStyle w:val="Intestazione"/>
    </w:pPr>
  </w:p>
  <w:p w:rsidR="00130AE4" w:rsidRDefault="00130AE4" w:rsidP="00130AE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85CE4"/>
    <w:multiLevelType w:val="hybridMultilevel"/>
    <w:tmpl w:val="2CB0D1A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963393"/>
    <w:multiLevelType w:val="hybridMultilevel"/>
    <w:tmpl w:val="A468916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625EFD"/>
    <w:multiLevelType w:val="hybridMultilevel"/>
    <w:tmpl w:val="DB1C72CC"/>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1EEC7C68"/>
    <w:multiLevelType w:val="hybridMultilevel"/>
    <w:tmpl w:val="CBAC1E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4A527F"/>
    <w:multiLevelType w:val="hybridMultilevel"/>
    <w:tmpl w:val="1B7E27D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2821269B"/>
    <w:multiLevelType w:val="hybridMultilevel"/>
    <w:tmpl w:val="8A3200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4BE3533"/>
    <w:multiLevelType w:val="hybridMultilevel"/>
    <w:tmpl w:val="554E19D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57801EFD"/>
    <w:multiLevelType w:val="hybridMultilevel"/>
    <w:tmpl w:val="1884E7F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BA204B"/>
    <w:multiLevelType w:val="hybridMultilevel"/>
    <w:tmpl w:val="1C30BD5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D0B448D"/>
    <w:multiLevelType w:val="hybridMultilevel"/>
    <w:tmpl w:val="B5B43FD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DBD6F43"/>
    <w:multiLevelType w:val="hybridMultilevel"/>
    <w:tmpl w:val="177C6F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A46430A"/>
    <w:multiLevelType w:val="hybridMultilevel"/>
    <w:tmpl w:val="3BB637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4873540"/>
    <w:multiLevelType w:val="hybridMultilevel"/>
    <w:tmpl w:val="3788C7C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nsid w:val="7AD21ABB"/>
    <w:multiLevelType w:val="hybridMultilevel"/>
    <w:tmpl w:val="559835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2"/>
  </w:num>
  <w:num w:numId="6">
    <w:abstractNumId w:val="11"/>
  </w:num>
  <w:num w:numId="7">
    <w:abstractNumId w:val="13"/>
  </w:num>
  <w:num w:numId="8">
    <w:abstractNumId w:val="6"/>
  </w:num>
  <w:num w:numId="9">
    <w:abstractNumId w:val="8"/>
  </w:num>
  <w:num w:numId="10">
    <w:abstractNumId w:val="7"/>
  </w:num>
  <w:num w:numId="11">
    <w:abstractNumId w:val="10"/>
  </w:num>
  <w:num w:numId="12">
    <w:abstractNumId w:val="2"/>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defaultTabStop w:val="708"/>
  <w:hyphenationZone w:val="283"/>
  <w:characterSpacingControl w:val="doNotCompress"/>
  <w:hdrShapeDefaults>
    <o:shapedefaults v:ext="edit" spidmax="18434"/>
    <o:shapelayout v:ext="edit">
      <o:idmap v:ext="edit" data="1"/>
      <o:rules v:ext="edit">
        <o:r id="V:Rule2" type="connector" idref="#AutoShape 2"/>
      </o:rules>
    </o:shapelayout>
  </w:hdrShapeDefaults>
  <w:footnotePr>
    <w:footnote w:id="-1"/>
    <w:footnote w:id="0"/>
  </w:footnotePr>
  <w:endnotePr>
    <w:endnote w:id="-1"/>
    <w:endnote w:id="0"/>
  </w:endnotePr>
  <w:compat/>
  <w:rsids>
    <w:rsidRoot w:val="009805A0"/>
    <w:rsid w:val="00030270"/>
    <w:rsid w:val="0006107C"/>
    <w:rsid w:val="000A385F"/>
    <w:rsid w:val="000E2E2A"/>
    <w:rsid w:val="000E4A19"/>
    <w:rsid w:val="000F53BB"/>
    <w:rsid w:val="00130AE4"/>
    <w:rsid w:val="0013716F"/>
    <w:rsid w:val="001601EF"/>
    <w:rsid w:val="00185290"/>
    <w:rsid w:val="001F11DD"/>
    <w:rsid w:val="002832F9"/>
    <w:rsid w:val="002B71CB"/>
    <w:rsid w:val="002D0158"/>
    <w:rsid w:val="00302333"/>
    <w:rsid w:val="0034388A"/>
    <w:rsid w:val="00422E87"/>
    <w:rsid w:val="00456DAE"/>
    <w:rsid w:val="004867B3"/>
    <w:rsid w:val="004B637D"/>
    <w:rsid w:val="004E1732"/>
    <w:rsid w:val="004F19FF"/>
    <w:rsid w:val="00587F29"/>
    <w:rsid w:val="005D5FA8"/>
    <w:rsid w:val="00614A07"/>
    <w:rsid w:val="00641791"/>
    <w:rsid w:val="006462A3"/>
    <w:rsid w:val="006870E6"/>
    <w:rsid w:val="006D2A42"/>
    <w:rsid w:val="00757904"/>
    <w:rsid w:val="007818D5"/>
    <w:rsid w:val="0079268B"/>
    <w:rsid w:val="0083360D"/>
    <w:rsid w:val="008851A9"/>
    <w:rsid w:val="008A4637"/>
    <w:rsid w:val="00970C25"/>
    <w:rsid w:val="009805A0"/>
    <w:rsid w:val="009C4BBA"/>
    <w:rsid w:val="00A21462"/>
    <w:rsid w:val="00A71E96"/>
    <w:rsid w:val="00AC2B40"/>
    <w:rsid w:val="00AF1063"/>
    <w:rsid w:val="00AF7C81"/>
    <w:rsid w:val="00B618D7"/>
    <w:rsid w:val="00BA4CE7"/>
    <w:rsid w:val="00BD21A0"/>
    <w:rsid w:val="00BE5EE3"/>
    <w:rsid w:val="00C15E53"/>
    <w:rsid w:val="00C36353"/>
    <w:rsid w:val="00CE0251"/>
    <w:rsid w:val="00D12948"/>
    <w:rsid w:val="00D57F03"/>
    <w:rsid w:val="00D76FCF"/>
    <w:rsid w:val="00D928A0"/>
    <w:rsid w:val="00DD0551"/>
    <w:rsid w:val="00DE1972"/>
    <w:rsid w:val="00E02F2D"/>
    <w:rsid w:val="00E8139F"/>
    <w:rsid w:val="00EE4AA9"/>
    <w:rsid w:val="00EF4AA0"/>
    <w:rsid w:val="00EF7DE7"/>
    <w:rsid w:val="00F15385"/>
    <w:rsid w:val="00F864DD"/>
    <w:rsid w:val="00FC256E"/>
    <w:rsid w:val="00FD3868"/>
    <w:rsid w:val="00FD4B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19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05A0"/>
    <w:pPr>
      <w:tabs>
        <w:tab w:val="center" w:pos="4819"/>
        <w:tab w:val="right" w:pos="9638"/>
      </w:tabs>
    </w:pPr>
  </w:style>
  <w:style w:type="character" w:customStyle="1" w:styleId="IntestazioneCarattere">
    <w:name w:val="Intestazione Carattere"/>
    <w:basedOn w:val="Carpredefinitoparagrafo"/>
    <w:link w:val="Intestazione"/>
    <w:uiPriority w:val="99"/>
    <w:rsid w:val="009805A0"/>
  </w:style>
  <w:style w:type="paragraph" w:styleId="Pidipagina">
    <w:name w:val="footer"/>
    <w:basedOn w:val="Normale"/>
    <w:link w:val="PidipaginaCarattere"/>
    <w:uiPriority w:val="99"/>
    <w:unhideWhenUsed/>
    <w:rsid w:val="009805A0"/>
    <w:pPr>
      <w:tabs>
        <w:tab w:val="center" w:pos="4819"/>
        <w:tab w:val="right" w:pos="9638"/>
      </w:tabs>
    </w:pPr>
  </w:style>
  <w:style w:type="character" w:customStyle="1" w:styleId="PidipaginaCarattere">
    <w:name w:val="Piè di pagina Carattere"/>
    <w:basedOn w:val="Carpredefinitoparagrafo"/>
    <w:link w:val="Pidipagina"/>
    <w:uiPriority w:val="99"/>
    <w:rsid w:val="009805A0"/>
  </w:style>
  <w:style w:type="paragraph" w:styleId="Testofumetto">
    <w:name w:val="Balloon Text"/>
    <w:basedOn w:val="Normale"/>
    <w:link w:val="TestofumettoCarattere"/>
    <w:uiPriority w:val="99"/>
    <w:semiHidden/>
    <w:unhideWhenUsed/>
    <w:rsid w:val="009805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05A0"/>
    <w:rPr>
      <w:rFonts w:ascii="Tahoma" w:hAnsi="Tahoma" w:cs="Tahoma"/>
      <w:sz w:val="16"/>
      <w:szCs w:val="16"/>
    </w:rPr>
  </w:style>
  <w:style w:type="character" w:styleId="Collegamentoipertestuale">
    <w:name w:val="Hyperlink"/>
    <w:basedOn w:val="Carpredefinitoparagrafo"/>
    <w:uiPriority w:val="99"/>
    <w:unhideWhenUsed/>
    <w:rsid w:val="009C4BBA"/>
    <w:rPr>
      <w:color w:val="0000FF" w:themeColor="hyperlink"/>
      <w:u w:val="single"/>
    </w:rPr>
  </w:style>
  <w:style w:type="table" w:styleId="Grigliatabella">
    <w:name w:val="Table Grid"/>
    <w:basedOn w:val="Tabellanormale"/>
    <w:uiPriority w:val="59"/>
    <w:rsid w:val="00C15E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7818D5"/>
    <w:pPr>
      <w:ind w:left="720"/>
      <w:contextualSpacing/>
    </w:pPr>
  </w:style>
  <w:style w:type="paragraph" w:customStyle="1" w:styleId="Default">
    <w:name w:val="Default"/>
    <w:rsid w:val="00030270"/>
    <w:pPr>
      <w:autoSpaceDE w:val="0"/>
      <w:autoSpaceDN w:val="0"/>
      <w:adjustRightInd w:val="0"/>
    </w:pPr>
    <w:rPr>
      <w:rFonts w:ascii="Liberation Sans" w:hAnsi="Liberation Sans" w:cs="Liberation Sans"/>
      <w:color w:val="000000"/>
      <w:sz w:val="24"/>
      <w:szCs w:val="24"/>
    </w:rPr>
  </w:style>
  <w:style w:type="paragraph" w:styleId="Mappadocumento">
    <w:name w:val="Document Map"/>
    <w:basedOn w:val="Normale"/>
    <w:link w:val="MappadocumentoCarattere"/>
    <w:uiPriority w:val="99"/>
    <w:semiHidden/>
    <w:unhideWhenUsed/>
    <w:rsid w:val="00C36353"/>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C363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19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05A0"/>
    <w:pPr>
      <w:tabs>
        <w:tab w:val="center" w:pos="4819"/>
        <w:tab w:val="right" w:pos="9638"/>
      </w:tabs>
    </w:pPr>
  </w:style>
  <w:style w:type="character" w:customStyle="1" w:styleId="IntestazioneCarattere">
    <w:name w:val="Intestazione Carattere"/>
    <w:basedOn w:val="Carpredefinitoparagrafo"/>
    <w:link w:val="Intestazione"/>
    <w:uiPriority w:val="99"/>
    <w:rsid w:val="009805A0"/>
  </w:style>
  <w:style w:type="paragraph" w:styleId="Pidipagina">
    <w:name w:val="footer"/>
    <w:basedOn w:val="Normale"/>
    <w:link w:val="PidipaginaCarattere"/>
    <w:uiPriority w:val="99"/>
    <w:unhideWhenUsed/>
    <w:rsid w:val="009805A0"/>
    <w:pPr>
      <w:tabs>
        <w:tab w:val="center" w:pos="4819"/>
        <w:tab w:val="right" w:pos="9638"/>
      </w:tabs>
    </w:pPr>
  </w:style>
  <w:style w:type="character" w:customStyle="1" w:styleId="PidipaginaCarattere">
    <w:name w:val="Piè di pagina Carattere"/>
    <w:basedOn w:val="Carpredefinitoparagrafo"/>
    <w:link w:val="Pidipagina"/>
    <w:uiPriority w:val="99"/>
    <w:rsid w:val="009805A0"/>
  </w:style>
  <w:style w:type="paragraph" w:styleId="Testofumetto">
    <w:name w:val="Balloon Text"/>
    <w:basedOn w:val="Normale"/>
    <w:link w:val="TestofumettoCarattere"/>
    <w:uiPriority w:val="99"/>
    <w:semiHidden/>
    <w:unhideWhenUsed/>
    <w:rsid w:val="009805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05A0"/>
    <w:rPr>
      <w:rFonts w:ascii="Tahoma" w:hAnsi="Tahoma" w:cs="Tahoma"/>
      <w:sz w:val="16"/>
      <w:szCs w:val="16"/>
    </w:rPr>
  </w:style>
  <w:style w:type="character" w:styleId="Collegamentoipertestuale">
    <w:name w:val="Hyperlink"/>
    <w:basedOn w:val="Carpredefinitoparagrafo"/>
    <w:uiPriority w:val="99"/>
    <w:unhideWhenUsed/>
    <w:rsid w:val="009C4B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DD538-DB8B-435F-8B40-E4EE5339F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3</Pages>
  <Words>1177</Words>
  <Characters>6711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De Lucia</dc:creator>
  <cp:lastModifiedBy>ffurtak</cp:lastModifiedBy>
  <cp:revision>13</cp:revision>
  <cp:lastPrinted>2018-02-27T11:38:00Z</cp:lastPrinted>
  <dcterms:created xsi:type="dcterms:W3CDTF">2017-12-05T09:29:00Z</dcterms:created>
  <dcterms:modified xsi:type="dcterms:W3CDTF">2018-02-27T11:53:00Z</dcterms:modified>
</cp:coreProperties>
</file>