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F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 w:rsidRPr="005D5FA8">
        <w:rPr>
          <w:rFonts w:ascii="Garamond" w:hAnsi="Garamond"/>
          <w:sz w:val="24"/>
          <w:szCs w:val="24"/>
        </w:rPr>
        <w:t>P</w:t>
      </w:r>
      <w:r w:rsidR="00C338F2">
        <w:rPr>
          <w:rFonts w:ascii="Garamond" w:hAnsi="Garamond"/>
          <w:sz w:val="24"/>
          <w:szCs w:val="24"/>
        </w:rPr>
        <w:t>rot</w:t>
      </w:r>
      <w:proofErr w:type="spellEnd"/>
      <w:r w:rsidR="00C338F2">
        <w:rPr>
          <w:rFonts w:ascii="Garamond" w:hAnsi="Garamond"/>
          <w:sz w:val="24"/>
          <w:szCs w:val="24"/>
        </w:rPr>
        <w:t xml:space="preserve">. n.   </w:t>
      </w:r>
      <w:r w:rsidR="00A238A5">
        <w:rPr>
          <w:rFonts w:ascii="Garamond" w:hAnsi="Garamond"/>
          <w:sz w:val="24"/>
          <w:szCs w:val="24"/>
        </w:rPr>
        <w:t>885</w:t>
      </w:r>
      <w:r w:rsidRPr="005D5FA8">
        <w:rPr>
          <w:rFonts w:ascii="Garamond" w:hAnsi="Garamond"/>
          <w:sz w:val="24"/>
          <w:szCs w:val="24"/>
        </w:rPr>
        <w:t>/1</w:t>
      </w:r>
      <w:r w:rsidR="005D5FA8" w:rsidRPr="005D5FA8">
        <w:rPr>
          <w:rFonts w:ascii="Garamond" w:hAnsi="Garamond"/>
          <w:sz w:val="24"/>
          <w:szCs w:val="24"/>
        </w:rPr>
        <w:t>8</w:t>
      </w:r>
      <w:r w:rsidRPr="005D5FA8">
        <w:rPr>
          <w:rFonts w:ascii="Garamond" w:hAnsi="Garamond"/>
          <w:sz w:val="24"/>
          <w:szCs w:val="24"/>
        </w:rPr>
        <w:t>/</w:t>
      </w:r>
      <w:r w:rsidR="00EF4AA0" w:rsidRPr="005D5FA8">
        <w:rPr>
          <w:rFonts w:ascii="Garamond" w:hAnsi="Garamond"/>
          <w:sz w:val="24"/>
          <w:szCs w:val="24"/>
        </w:rPr>
        <w:t>UG</w:t>
      </w:r>
      <w:r w:rsidRPr="005D5FA8">
        <w:rPr>
          <w:rFonts w:ascii="Garamond" w:hAnsi="Garamond"/>
          <w:sz w:val="24"/>
          <w:szCs w:val="24"/>
        </w:rPr>
        <w:t>/</w:t>
      </w:r>
      <w:proofErr w:type="spellStart"/>
      <w:r w:rsidR="008A4637">
        <w:rPr>
          <w:rFonts w:ascii="Garamond" w:hAnsi="Garamond"/>
          <w:sz w:val="24"/>
          <w:szCs w:val="24"/>
        </w:rPr>
        <w:t>dpd</w:t>
      </w:r>
      <w:proofErr w:type="spellEnd"/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Venezia  </w:t>
      </w:r>
      <w:r w:rsidR="00B332A1">
        <w:rPr>
          <w:rFonts w:ascii="Garamond" w:hAnsi="Garamond"/>
          <w:sz w:val="24"/>
          <w:szCs w:val="24"/>
        </w:rPr>
        <w:t>16</w:t>
      </w:r>
      <w:r w:rsidRPr="005D5FA8">
        <w:rPr>
          <w:rFonts w:ascii="Garamond" w:hAnsi="Garamond"/>
          <w:sz w:val="24"/>
          <w:szCs w:val="24"/>
        </w:rPr>
        <w:t>/</w:t>
      </w:r>
      <w:r w:rsidR="00456DAE">
        <w:rPr>
          <w:rFonts w:ascii="Garamond" w:hAnsi="Garamond"/>
          <w:sz w:val="24"/>
          <w:szCs w:val="24"/>
        </w:rPr>
        <w:t>0</w:t>
      </w:r>
      <w:r w:rsidR="00B332A1">
        <w:rPr>
          <w:rFonts w:ascii="Garamond" w:hAnsi="Garamond"/>
          <w:sz w:val="24"/>
          <w:szCs w:val="24"/>
        </w:rPr>
        <w:t>3</w:t>
      </w:r>
      <w:r w:rsidRPr="005D5FA8">
        <w:rPr>
          <w:rFonts w:ascii="Garamond" w:hAnsi="Garamond"/>
          <w:sz w:val="24"/>
          <w:szCs w:val="24"/>
        </w:rPr>
        <w:t>/201</w:t>
      </w:r>
      <w:r w:rsidR="005D5FA8" w:rsidRPr="005D5FA8">
        <w:rPr>
          <w:rFonts w:ascii="Garamond" w:hAnsi="Garamond"/>
          <w:sz w:val="24"/>
          <w:szCs w:val="24"/>
        </w:rPr>
        <w:t>8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     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"/>
        <w:gridCol w:w="8677"/>
      </w:tblGrid>
      <w:tr w:rsidR="00C15E53" w:rsidRPr="005D5FA8" w:rsidTr="00C15E53">
        <w:tc>
          <w:tcPr>
            <w:tcW w:w="1101" w:type="dxa"/>
          </w:tcPr>
          <w:p w:rsidR="00C15E53" w:rsidRPr="005D5FA8" w:rsidRDefault="00C15E53" w:rsidP="0079268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>Oggetto</w:t>
            </w:r>
            <w:r w:rsidR="005D5FA8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77" w:type="dxa"/>
          </w:tcPr>
          <w:p w:rsidR="00C15E53" w:rsidRPr="005D5FA8" w:rsidRDefault="00C15E53" w:rsidP="0079268B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Procedura </w:t>
            </w:r>
            <w:r w:rsidR="00B332A1">
              <w:rPr>
                <w:rFonts w:ascii="Garamond" w:hAnsi="Garamond"/>
                <w:b/>
                <w:sz w:val="24"/>
                <w:szCs w:val="24"/>
              </w:rPr>
              <w:t>aperta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 per </w:t>
            </w:r>
            <w:r w:rsidR="00B332A1">
              <w:rPr>
                <w:rFonts w:ascii="Garamond" w:hAnsi="Garamond"/>
                <w:b/>
                <w:sz w:val="24"/>
                <w:szCs w:val="24"/>
              </w:rPr>
              <w:t xml:space="preserve">l’appalto relativo all’affidamento del servizio a ridotto impatto ambientale di ristorazione scolastica per gli anni scolastici 2018/2019 – 2023/2024. </w:t>
            </w:r>
            <w:r w:rsidR="005D5FA8" w:rsidRPr="005D5FA8">
              <w:rPr>
                <w:rFonts w:ascii="Garamond" w:hAnsi="Garamond"/>
                <w:b/>
                <w:sz w:val="24"/>
                <w:szCs w:val="24"/>
              </w:rPr>
              <w:t>Determina a contrarre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C15E53" w:rsidRPr="005D5FA8" w:rsidRDefault="00C15E53" w:rsidP="007926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C15E53" w:rsidRPr="005D5FA8" w:rsidRDefault="005D5FA8" w:rsidP="0079268B">
      <w:pPr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b/>
          <w:sz w:val="24"/>
          <w:szCs w:val="24"/>
        </w:rPr>
        <w:t>R</w:t>
      </w:r>
      <w:r w:rsidR="002B71CB" w:rsidRPr="005D5FA8">
        <w:rPr>
          <w:rFonts w:ascii="Garamond" w:hAnsi="Garamond"/>
          <w:b/>
          <w:sz w:val="24"/>
          <w:szCs w:val="24"/>
        </w:rPr>
        <w:t>ichiamata</w:t>
      </w:r>
      <w:r w:rsidR="00C15E53" w:rsidRPr="005D5FA8">
        <w:rPr>
          <w:rFonts w:ascii="Garamond" w:hAnsi="Garamond"/>
          <w:b/>
          <w:sz w:val="24"/>
          <w:szCs w:val="24"/>
        </w:rPr>
        <w:t xml:space="preserve"> </w:t>
      </w:r>
      <w:r w:rsidR="00C15E53" w:rsidRPr="005D5FA8">
        <w:rPr>
          <w:rFonts w:ascii="Garamond" w:hAnsi="Garamond"/>
          <w:sz w:val="24"/>
          <w:szCs w:val="24"/>
        </w:rPr>
        <w:t>la delibera</w:t>
      </w:r>
      <w:r w:rsidRPr="005D5FA8">
        <w:rPr>
          <w:rFonts w:ascii="Garamond" w:hAnsi="Garamond"/>
          <w:sz w:val="24"/>
          <w:szCs w:val="24"/>
        </w:rPr>
        <w:t>zione</w:t>
      </w:r>
      <w:r w:rsidR="00C15E53" w:rsidRPr="005D5FA8">
        <w:rPr>
          <w:rFonts w:ascii="Garamond" w:hAnsi="Garamond"/>
          <w:sz w:val="24"/>
          <w:szCs w:val="24"/>
        </w:rPr>
        <w:t xml:space="preserve"> Assembleare del </w:t>
      </w:r>
      <w:r w:rsidR="007818D5" w:rsidRPr="005D5FA8">
        <w:rPr>
          <w:rFonts w:ascii="Garamond" w:hAnsi="Garamond"/>
          <w:sz w:val="24"/>
          <w:szCs w:val="24"/>
        </w:rPr>
        <w:t>29/1</w:t>
      </w:r>
      <w:r w:rsidR="00FC256E" w:rsidRPr="005D5FA8">
        <w:rPr>
          <w:rFonts w:ascii="Garamond" w:hAnsi="Garamond"/>
          <w:sz w:val="24"/>
          <w:szCs w:val="24"/>
        </w:rPr>
        <w:t>1</w:t>
      </w:r>
      <w:r w:rsidR="007818D5" w:rsidRPr="005D5FA8">
        <w:rPr>
          <w:rFonts w:ascii="Garamond" w:hAnsi="Garamond"/>
          <w:sz w:val="24"/>
          <w:szCs w:val="24"/>
        </w:rPr>
        <w:t xml:space="preserve">/2017 con cui è stato conferito l’incarico di Direttore Generale al Dott. Nicola </w:t>
      </w:r>
      <w:proofErr w:type="spellStart"/>
      <w:r w:rsidR="007818D5" w:rsidRPr="005D5FA8">
        <w:rPr>
          <w:rFonts w:ascii="Garamond" w:hAnsi="Garamond"/>
          <w:sz w:val="24"/>
          <w:szCs w:val="24"/>
        </w:rPr>
        <w:t>Cattozzo</w:t>
      </w:r>
      <w:proofErr w:type="spellEnd"/>
      <w:r w:rsidR="007818D5" w:rsidRPr="005D5FA8">
        <w:rPr>
          <w:rFonts w:ascii="Garamond" w:hAnsi="Garamond"/>
          <w:sz w:val="24"/>
          <w:szCs w:val="24"/>
        </w:rPr>
        <w:t xml:space="preserve"> a decorrere dal 01 dicembre 2017</w:t>
      </w:r>
      <w:r w:rsidR="002B71CB">
        <w:rPr>
          <w:rFonts w:ascii="Garamond" w:hAnsi="Garamond"/>
          <w:sz w:val="24"/>
          <w:szCs w:val="24"/>
        </w:rPr>
        <w:t>.</w:t>
      </w:r>
    </w:p>
    <w:p w:rsidR="008A4637" w:rsidRDefault="002B71CB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5D5FA8">
        <w:rPr>
          <w:rFonts w:ascii="Garamond" w:hAnsi="Garamond"/>
          <w:b/>
          <w:sz w:val="24"/>
          <w:szCs w:val="24"/>
        </w:rPr>
        <w:t>remesso che</w:t>
      </w:r>
      <w:r w:rsidR="008A4637">
        <w:rPr>
          <w:rFonts w:ascii="Garamond" w:hAnsi="Garamond"/>
          <w:b/>
          <w:sz w:val="24"/>
          <w:szCs w:val="24"/>
        </w:rPr>
        <w:t>:</w:t>
      </w:r>
    </w:p>
    <w:p w:rsidR="007106B6" w:rsidRDefault="005D5FA8" w:rsidP="007106B6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aramond" w:hAnsi="Garamond"/>
        </w:rPr>
      </w:pPr>
      <w:r w:rsidRPr="008A4637">
        <w:rPr>
          <w:rFonts w:ascii="Garamond" w:hAnsi="Garamond"/>
          <w:b/>
          <w:sz w:val="24"/>
          <w:szCs w:val="24"/>
        </w:rPr>
        <w:t>c</w:t>
      </w:r>
      <w:r w:rsidR="00BE5EE3" w:rsidRPr="008A4637">
        <w:rPr>
          <w:rFonts w:ascii="Garamond" w:hAnsi="Garamond"/>
          <w:sz w:val="24"/>
          <w:szCs w:val="24"/>
        </w:rPr>
        <w:t>on determina</w:t>
      </w:r>
      <w:r w:rsidR="007818D5" w:rsidRPr="008A4637">
        <w:rPr>
          <w:rFonts w:ascii="Garamond" w:hAnsi="Garamond"/>
          <w:sz w:val="24"/>
          <w:szCs w:val="24"/>
        </w:rPr>
        <w:t xml:space="preserve"> dell’Amministratore Unico n. </w:t>
      </w:r>
      <w:r w:rsidR="00B332A1">
        <w:rPr>
          <w:rFonts w:ascii="Garamond" w:hAnsi="Garamond"/>
          <w:sz w:val="24"/>
          <w:szCs w:val="24"/>
        </w:rPr>
        <w:t>29</w:t>
      </w:r>
      <w:r w:rsidR="00BE5EE3" w:rsidRPr="008A4637">
        <w:rPr>
          <w:rFonts w:ascii="Garamond" w:hAnsi="Garamond"/>
          <w:sz w:val="24"/>
          <w:szCs w:val="24"/>
        </w:rPr>
        <w:t xml:space="preserve">/2017 </w:t>
      </w:r>
      <w:r w:rsidR="00F15385" w:rsidRPr="008A4637">
        <w:rPr>
          <w:rFonts w:ascii="Garamond" w:hAnsi="Garamond"/>
          <w:sz w:val="24"/>
          <w:szCs w:val="24"/>
        </w:rPr>
        <w:t xml:space="preserve">del </w:t>
      </w:r>
      <w:r w:rsidR="00B332A1">
        <w:rPr>
          <w:rFonts w:ascii="Garamond" w:hAnsi="Garamond"/>
          <w:sz w:val="24"/>
          <w:szCs w:val="24"/>
        </w:rPr>
        <w:t>28 luglio</w:t>
      </w:r>
      <w:r w:rsidR="00F15385" w:rsidRPr="008A4637">
        <w:rPr>
          <w:rFonts w:ascii="Garamond" w:hAnsi="Garamond"/>
          <w:sz w:val="24"/>
          <w:szCs w:val="24"/>
        </w:rPr>
        <w:t xml:space="preserve"> 2017 </w:t>
      </w:r>
      <w:r w:rsidR="00B332A1">
        <w:rPr>
          <w:rFonts w:ascii="Garamond" w:hAnsi="Garamond"/>
          <w:sz w:val="24"/>
          <w:szCs w:val="24"/>
        </w:rPr>
        <w:t xml:space="preserve">A.M.E.S. S.p.A. ha manifestato la volontà di avviare una procedura selettiva per l’affidamento a terzi del servizio di ristorazione scolastica alle scuole dell’infanzia, primarie e secondarie di </w:t>
      </w:r>
      <w:proofErr w:type="spellStart"/>
      <w:r w:rsidR="00B332A1">
        <w:rPr>
          <w:rFonts w:ascii="Garamond" w:hAnsi="Garamond"/>
          <w:sz w:val="24"/>
          <w:szCs w:val="24"/>
        </w:rPr>
        <w:t>I°</w:t>
      </w:r>
      <w:proofErr w:type="spellEnd"/>
      <w:r w:rsidR="00B332A1">
        <w:rPr>
          <w:rFonts w:ascii="Garamond" w:hAnsi="Garamond"/>
          <w:sz w:val="24"/>
          <w:szCs w:val="24"/>
        </w:rPr>
        <w:t xml:space="preserve"> grado nel territorio del Comune di Venezia e contestualmente ha autorizzato l’avvio di una proroga tecnica contrattuale nelle more dell’esperimento delle</w:t>
      </w:r>
      <w:r w:rsidR="00261417">
        <w:rPr>
          <w:rFonts w:ascii="Garamond" w:hAnsi="Garamond"/>
          <w:sz w:val="24"/>
          <w:szCs w:val="24"/>
        </w:rPr>
        <w:t xml:space="preserve"> </w:t>
      </w:r>
      <w:r w:rsidR="00B332A1">
        <w:rPr>
          <w:rFonts w:ascii="Garamond" w:hAnsi="Garamond"/>
          <w:sz w:val="24"/>
          <w:szCs w:val="24"/>
        </w:rPr>
        <w:t xml:space="preserve">procedure </w:t>
      </w:r>
      <w:r w:rsidR="00261417">
        <w:rPr>
          <w:rFonts w:ascii="Garamond" w:hAnsi="Garamond"/>
          <w:sz w:val="24"/>
          <w:szCs w:val="24"/>
        </w:rPr>
        <w:t>di gara</w:t>
      </w:r>
      <w:r w:rsidR="00B332A1">
        <w:rPr>
          <w:rFonts w:ascii="Garamond" w:hAnsi="Garamond"/>
          <w:sz w:val="24"/>
          <w:szCs w:val="24"/>
        </w:rPr>
        <w:t>;</w:t>
      </w:r>
    </w:p>
    <w:p w:rsidR="00F87798" w:rsidRPr="007106B6" w:rsidRDefault="00F87798" w:rsidP="007106B6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7106B6">
        <w:rPr>
          <w:rFonts w:ascii="Garamond" w:hAnsi="Garamond"/>
          <w:sz w:val="24"/>
          <w:szCs w:val="24"/>
        </w:rPr>
        <w:t>Nel provvedimento sopra citato</w:t>
      </w:r>
      <w:r w:rsidR="007106B6" w:rsidRPr="007106B6">
        <w:rPr>
          <w:rFonts w:ascii="Garamond" w:hAnsi="Garamond"/>
          <w:sz w:val="24"/>
          <w:szCs w:val="24"/>
        </w:rPr>
        <w:t xml:space="preserve"> </w:t>
      </w:r>
      <w:r w:rsidR="007106B6">
        <w:rPr>
          <w:rFonts w:ascii="Garamond" w:hAnsi="Garamond"/>
          <w:sz w:val="24"/>
          <w:szCs w:val="24"/>
        </w:rPr>
        <w:t>l</w:t>
      </w:r>
      <w:r w:rsidRPr="007106B6">
        <w:rPr>
          <w:rFonts w:ascii="Garamond" w:hAnsi="Garamond"/>
          <w:sz w:val="24"/>
          <w:szCs w:val="24"/>
        </w:rPr>
        <w:t xml:space="preserve">a dott.ssa Silvia </w:t>
      </w:r>
      <w:proofErr w:type="spellStart"/>
      <w:r w:rsidRPr="007106B6">
        <w:rPr>
          <w:rFonts w:ascii="Garamond" w:hAnsi="Garamond"/>
          <w:sz w:val="24"/>
          <w:szCs w:val="24"/>
        </w:rPr>
        <w:t>Spignesi</w:t>
      </w:r>
      <w:proofErr w:type="spellEnd"/>
      <w:r w:rsidRPr="007106B6">
        <w:rPr>
          <w:rFonts w:ascii="Garamond" w:hAnsi="Garamond"/>
          <w:sz w:val="24"/>
          <w:szCs w:val="24"/>
        </w:rPr>
        <w:t xml:space="preserve"> veniva individuata quale Responsabile Unico del Procedimento affidandole tutti gli adempimenti necessari in ordine all’espletamento della procedura di gara, con l’eccezione de</w:t>
      </w:r>
      <w:r w:rsidR="0032630A" w:rsidRPr="007106B6">
        <w:rPr>
          <w:rFonts w:ascii="Garamond" w:hAnsi="Garamond"/>
          <w:sz w:val="24"/>
          <w:szCs w:val="24"/>
        </w:rPr>
        <w:t>gli atti che richi</w:t>
      </w:r>
      <w:r w:rsidR="007106B6" w:rsidRPr="007106B6">
        <w:rPr>
          <w:rFonts w:ascii="Garamond" w:hAnsi="Garamond"/>
          <w:sz w:val="24"/>
          <w:szCs w:val="24"/>
        </w:rPr>
        <w:t>e</w:t>
      </w:r>
      <w:r w:rsidR="0032630A" w:rsidRPr="007106B6">
        <w:rPr>
          <w:rFonts w:ascii="Garamond" w:hAnsi="Garamond"/>
          <w:sz w:val="24"/>
          <w:szCs w:val="24"/>
        </w:rPr>
        <w:t xml:space="preserve">dono </w:t>
      </w:r>
      <w:r w:rsidR="007106B6" w:rsidRPr="007106B6">
        <w:rPr>
          <w:rFonts w:ascii="Garamond" w:hAnsi="Garamond"/>
          <w:sz w:val="24"/>
          <w:szCs w:val="24"/>
        </w:rPr>
        <w:t xml:space="preserve">il possesso di poteri negoziali per i quali, a mente dell’art. 6-bis della legge 241/90 il RUP ne demanda la trasmissione all’organo competente per l’adozione; </w:t>
      </w:r>
    </w:p>
    <w:p w:rsidR="005D5FA8" w:rsidRDefault="005D5FA8" w:rsidP="0079268B">
      <w:pPr>
        <w:pStyle w:val="Default"/>
        <w:spacing w:line="276" w:lineRule="auto"/>
        <w:jc w:val="both"/>
        <w:rPr>
          <w:rFonts w:ascii="Garamond" w:hAnsi="Garamond"/>
          <w:b/>
        </w:rPr>
      </w:pPr>
    </w:p>
    <w:p w:rsidR="005D5FA8" w:rsidRDefault="002B71CB" w:rsidP="00C36353">
      <w:pPr>
        <w:pStyle w:val="Default"/>
        <w:spacing w:line="276" w:lineRule="auto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Considerato che</w:t>
      </w:r>
      <w:r w:rsidR="005D5FA8">
        <w:rPr>
          <w:rFonts w:ascii="Garamond" w:hAnsi="Garamond"/>
          <w:b/>
        </w:rPr>
        <w:t>:</w:t>
      </w:r>
    </w:p>
    <w:p w:rsidR="007106B6" w:rsidRDefault="007106B6" w:rsidP="007106B6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forza di convenzione n. 19596 di Repertorio Speciale del 16/11/2017, avente ad oggetto “Accordo operativo per lo svolgimento delle procedure di affidamento di servizi e forniture per conto di AMES SpA” la Società ha affidato alla Direzione Servizi Amministrativi e Affari Generali – Settore Gare e Contratti e Centrale Unica Appalti ed Economato – Servizio Gare e Contratti</w:t>
      </w:r>
      <w:r w:rsidR="00C338F2">
        <w:rPr>
          <w:rFonts w:ascii="Garamond" w:hAnsi="Garamond"/>
        </w:rPr>
        <w:t xml:space="preserve"> del Comune di Venezia </w:t>
      </w:r>
      <w:r>
        <w:rPr>
          <w:rFonts w:ascii="Garamond" w:hAnsi="Garamond"/>
        </w:rPr>
        <w:t>l’indizione e gestione della gara per l’affidamento del servizio di ristorazione scolastica, assicurando la copertura finanziaria dell’intervento e la relativa responsabilità contrattuale e contabile;</w:t>
      </w:r>
    </w:p>
    <w:p w:rsidR="007106B6" w:rsidRDefault="007106B6" w:rsidP="007106B6">
      <w:pPr>
        <w:pStyle w:val="Default"/>
        <w:spacing w:line="276" w:lineRule="auto"/>
        <w:ind w:left="360" w:hanging="360"/>
        <w:jc w:val="both"/>
        <w:rPr>
          <w:rFonts w:ascii="Garamond" w:hAnsi="Garamond"/>
          <w:b/>
        </w:rPr>
      </w:pPr>
    </w:p>
    <w:p w:rsidR="007106B6" w:rsidRPr="007106B6" w:rsidRDefault="007106B6" w:rsidP="007106B6">
      <w:pPr>
        <w:pStyle w:val="Default"/>
        <w:spacing w:line="276" w:lineRule="auto"/>
        <w:ind w:left="360" w:hanging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Atteso che:</w:t>
      </w:r>
    </w:p>
    <w:p w:rsidR="005D5FA8" w:rsidRDefault="007106B6" w:rsidP="0079268B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fine di</w:t>
      </w:r>
      <w:r w:rsidR="002B71CB">
        <w:rPr>
          <w:rFonts w:ascii="Garamond" w:hAnsi="Garamond"/>
        </w:rPr>
        <w:t xml:space="preserve"> garantire massima partecipazione e concorrenzialità tra gli operatori economici del settore</w:t>
      </w:r>
      <w:r>
        <w:rPr>
          <w:rFonts w:ascii="Garamond" w:hAnsi="Garamond"/>
        </w:rPr>
        <w:t xml:space="preserve"> l’affidamento avverrà mediante procedura aperta e con applicazione del criterio dell’offerta economicamente più vantaggiosa individuata sulla base del miglior rapporto qualità prezzo, ai sensi degli artt. 60 e 95 del D.Lgs. 18 aprile 2016 n. 50 s.m.i. </w:t>
      </w:r>
    </w:p>
    <w:p w:rsidR="007106B6" w:rsidRDefault="007106B6" w:rsidP="008851A9">
      <w:pPr>
        <w:pStyle w:val="Default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8851A9" w:rsidRPr="008851A9">
        <w:rPr>
          <w:rFonts w:ascii="Garamond" w:hAnsi="Garamond"/>
        </w:rPr>
        <w:t>’appalto</w:t>
      </w:r>
      <w:r>
        <w:rPr>
          <w:rFonts w:ascii="Garamond" w:hAnsi="Garamond"/>
        </w:rPr>
        <w:t xml:space="preserve"> dovrà essere strutturato in un unico lotto</w:t>
      </w:r>
      <w:r w:rsidR="008851A9" w:rsidRPr="008851A9">
        <w:rPr>
          <w:rFonts w:ascii="Garamond" w:hAnsi="Garamond"/>
        </w:rPr>
        <w:t xml:space="preserve"> </w:t>
      </w:r>
      <w:r>
        <w:rPr>
          <w:rFonts w:ascii="Garamond" w:hAnsi="Garamond"/>
        </w:rPr>
        <w:t>per consentire una gestione coordinata del servizio, ottimizzare le risorse e conseguentemente contenere i costi del servizio, semplificando le procedure amministrative in fase di esecuzione del contratto;</w:t>
      </w:r>
    </w:p>
    <w:p w:rsidR="007106B6" w:rsidRDefault="007106B6" w:rsidP="008851A9">
      <w:pPr>
        <w:pStyle w:val="Default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La durata dell’appalto è individuata in anni sei decorrenti dal 1 settembre 2018 fino al termine dell’anno scolastico 2023/2024;</w:t>
      </w:r>
    </w:p>
    <w:p w:rsidR="007106B6" w:rsidRDefault="007106B6" w:rsidP="008851A9">
      <w:pPr>
        <w:pStyle w:val="Default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L’importo a base di gara, al netto di IVA ed altre imposte e contributi di legge, nonché degli oneri per la sicurezza dovuti a rischi da interferenze è pari ad € 49.796.547,00= (quarantanovemilionisettecentonovantaseimilacinquecentoquarantasette);</w:t>
      </w:r>
    </w:p>
    <w:p w:rsidR="00E46BC8" w:rsidRPr="00E46BC8" w:rsidRDefault="007106B6" w:rsidP="00E46BC8">
      <w:pPr>
        <w:pStyle w:val="Default"/>
        <w:numPr>
          <w:ilvl w:val="0"/>
          <w:numId w:val="6"/>
        </w:numPr>
        <w:tabs>
          <w:tab w:val="left" w:pos="360"/>
        </w:tabs>
        <w:spacing w:before="60" w:after="6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L’importo degli oneri per la sicurezza da interferenze</w:t>
      </w:r>
      <w:r w:rsidR="00E46BC8">
        <w:rPr>
          <w:rFonts w:ascii="Garamond" w:hAnsi="Garamond"/>
        </w:rPr>
        <w:t xml:space="preserve"> non soggetto a ribasso</w:t>
      </w:r>
      <w:r>
        <w:rPr>
          <w:rFonts w:ascii="Garamond" w:hAnsi="Garamond"/>
        </w:rPr>
        <w:t xml:space="preserve"> è pari ad € </w:t>
      </w:r>
      <w:r w:rsidR="00E46BC8">
        <w:rPr>
          <w:rFonts w:ascii="Garamond" w:hAnsi="Garamond"/>
        </w:rPr>
        <w:t>7.500,00= (settemilacinquecento) IVA esclusa;</w:t>
      </w:r>
    </w:p>
    <w:p w:rsidR="002B71CB" w:rsidRDefault="002B71CB" w:rsidP="00C36353">
      <w:pPr>
        <w:pStyle w:val="Default"/>
        <w:spacing w:before="240" w:line="276" w:lineRule="auto"/>
        <w:jc w:val="both"/>
        <w:outlineLvl w:val="0"/>
        <w:rPr>
          <w:rFonts w:ascii="Garamond" w:hAnsi="Garamond"/>
          <w:b/>
        </w:rPr>
      </w:pPr>
      <w:r w:rsidRPr="002B71CB">
        <w:rPr>
          <w:rFonts w:ascii="Garamond" w:hAnsi="Garamond"/>
          <w:b/>
        </w:rPr>
        <w:t>Richiamate le seguenti disposizioni normative e regolamentari:</w:t>
      </w:r>
    </w:p>
    <w:p w:rsidR="002B71CB" w:rsidRDefault="002B71CB" w:rsidP="0079268B">
      <w:pPr>
        <w:pStyle w:val="Default"/>
        <w:numPr>
          <w:ilvl w:val="0"/>
          <w:numId w:val="7"/>
        </w:numPr>
        <w:spacing w:before="240" w:line="276" w:lineRule="auto"/>
        <w:jc w:val="both"/>
        <w:rPr>
          <w:rFonts w:ascii="Garamond" w:hAnsi="Garamond"/>
        </w:rPr>
      </w:pPr>
      <w:r w:rsidRPr="002B71CB">
        <w:rPr>
          <w:rFonts w:ascii="Garamond" w:hAnsi="Garamond"/>
        </w:rPr>
        <w:t>L’articolo 3 della legge</w:t>
      </w:r>
      <w:r>
        <w:rPr>
          <w:rFonts w:ascii="Garamond" w:hAnsi="Garamond"/>
        </w:rPr>
        <w:t xml:space="preserve"> 136/2010 in materia di tracciabilità dei flussi finanziari;</w:t>
      </w:r>
    </w:p>
    <w:p w:rsidR="002B71CB" w:rsidRDefault="002B71CB" w:rsidP="0079268B">
      <w:pPr>
        <w:pStyle w:val="Default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decreto legislativo 18 aprile 2016 n. 50 “Attuazione delle direttive 2014/23/UE,</w:t>
      </w:r>
      <w:r w:rsidRPr="002B71CB">
        <w:rPr>
          <w:rFonts w:ascii="Garamond" w:hAnsi="Garamond"/>
        </w:rPr>
        <w:t xml:space="preserve"> </w:t>
      </w:r>
      <w:r>
        <w:rPr>
          <w:rFonts w:ascii="Garamond" w:hAnsi="Garamond"/>
        </w:rPr>
        <w:t>2014/24/UE,</w:t>
      </w:r>
      <w:r w:rsidRPr="002B71CB">
        <w:rPr>
          <w:rFonts w:ascii="Garamond" w:hAnsi="Garamond"/>
        </w:rPr>
        <w:t xml:space="preserve"> </w:t>
      </w:r>
      <w:r w:rsidR="0083360D">
        <w:rPr>
          <w:rFonts w:ascii="Garamond" w:hAnsi="Garamond"/>
        </w:rPr>
        <w:t xml:space="preserve">sull’aggiudicazione dei contratti di concessione, sugli appalti pubblici e sulle procedure d’appalto degli enti erogatori nei settori dell’acqua, </w:t>
      </w:r>
      <w:proofErr w:type="spellStart"/>
      <w:r w:rsidR="0083360D">
        <w:rPr>
          <w:rFonts w:ascii="Garamond" w:hAnsi="Garamond"/>
        </w:rPr>
        <w:t>dellenergia</w:t>
      </w:r>
      <w:proofErr w:type="spellEnd"/>
      <w:r w:rsidR="0083360D">
        <w:rPr>
          <w:rFonts w:ascii="Garamond" w:hAnsi="Garamond"/>
        </w:rPr>
        <w:t>, dei trasporti e dei servizi postali, nonché per il riordino della disciplina vigente in materia di contratti pubblici relativi a lavori, servizi e forniture, di seguito denominato D.Lgs. 50/2016 s.m.i. ed in particolare:</w:t>
      </w:r>
    </w:p>
    <w:p w:rsidR="0083360D" w:rsidRDefault="0083360D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30, comma 1, sui principi per l’aggiudicazione e l’esecuzione di appalti e concessioni e l’articolo 35 sui contratti e le relative soglie comunitarie;</w:t>
      </w:r>
    </w:p>
    <w:p w:rsidR="0083360D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32 sulle fasi delle procedure di affidamento;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80 sui motivi di esclusione;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29 sui principi in materia di trasparenza;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6</w:t>
      </w:r>
      <w:r w:rsidR="00E46BC8">
        <w:rPr>
          <w:rFonts w:ascii="Garamond" w:hAnsi="Garamond"/>
        </w:rPr>
        <w:t>0</w:t>
      </w:r>
      <w:r>
        <w:rPr>
          <w:rFonts w:ascii="Garamond" w:hAnsi="Garamond"/>
        </w:rPr>
        <w:t xml:space="preserve"> sulle disposizioni per la procedura </w:t>
      </w:r>
      <w:r w:rsidR="00E46BC8">
        <w:rPr>
          <w:rFonts w:ascii="Garamond" w:hAnsi="Garamond"/>
        </w:rPr>
        <w:t>aperta</w:t>
      </w:r>
      <w:r>
        <w:rPr>
          <w:rFonts w:ascii="Garamond" w:hAnsi="Garamond"/>
        </w:rPr>
        <w:t>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95 sui criteri di aggiudicazione degli appalti.</w:t>
      </w:r>
    </w:p>
    <w:p w:rsidR="00AF7C81" w:rsidRPr="002B71CB" w:rsidRDefault="00AF7C81" w:rsidP="0079268B">
      <w:pPr>
        <w:pStyle w:val="Default"/>
        <w:spacing w:line="276" w:lineRule="auto"/>
        <w:ind w:left="720" w:hanging="720"/>
        <w:jc w:val="both"/>
        <w:rPr>
          <w:rFonts w:ascii="Garamond" w:hAnsi="Garamond"/>
        </w:rPr>
      </w:pPr>
    </w:p>
    <w:p w:rsidR="005D5FA8" w:rsidRDefault="00AF7C81" w:rsidP="0079268B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Presa visione </w:t>
      </w:r>
      <w:r>
        <w:rPr>
          <w:rFonts w:ascii="Garamond" w:hAnsi="Garamond"/>
        </w:rPr>
        <w:t>della seguente documentazione di gara:</w:t>
      </w:r>
    </w:p>
    <w:p w:rsidR="00AF7C81" w:rsidRDefault="00AF7C81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Progetto ai sensi dell’art. 23, comm</w:t>
      </w:r>
      <w:r w:rsidR="00C338F2">
        <w:rPr>
          <w:rFonts w:ascii="Garamond" w:hAnsi="Garamond"/>
        </w:rPr>
        <w:t>i</w:t>
      </w:r>
      <w:r>
        <w:rPr>
          <w:rFonts w:ascii="Garamond" w:hAnsi="Garamond"/>
        </w:rPr>
        <w:t xml:space="preserve"> 14</w:t>
      </w:r>
      <w:r w:rsidR="00C338F2">
        <w:rPr>
          <w:rFonts w:ascii="Garamond" w:hAnsi="Garamond"/>
        </w:rPr>
        <w:t xml:space="preserve"> e 15</w:t>
      </w:r>
      <w:r>
        <w:rPr>
          <w:rFonts w:ascii="Garamond" w:hAnsi="Garamond"/>
        </w:rPr>
        <w:t>, del D.Lgs. 50/2016</w:t>
      </w:r>
      <w:r w:rsidR="00C338F2">
        <w:rPr>
          <w:rFonts w:ascii="Garamond" w:hAnsi="Garamond"/>
        </w:rPr>
        <w:t xml:space="preserve"> comprensivo del Capitolato speciale d’appalto e relativi allegati;</w:t>
      </w:r>
    </w:p>
    <w:p w:rsidR="00AF7C81" w:rsidRDefault="00AF7C81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Bando di gara;</w:t>
      </w:r>
    </w:p>
    <w:p w:rsidR="00AF7C81" w:rsidRDefault="00AF7C81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Disciplinare di gara e relativi allegati</w:t>
      </w:r>
      <w:r w:rsidR="00B618D7">
        <w:rPr>
          <w:rFonts w:ascii="Garamond" w:hAnsi="Garamond"/>
        </w:rPr>
        <w:t>;</w:t>
      </w:r>
    </w:p>
    <w:p w:rsidR="00D12948" w:rsidRPr="005D5FA8" w:rsidRDefault="00D12948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2948" w:rsidRPr="005D5FA8" w:rsidRDefault="00D12948" w:rsidP="00C36353">
      <w:pPr>
        <w:spacing w:line="276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5D5FA8">
        <w:rPr>
          <w:rFonts w:ascii="Garamond" w:hAnsi="Garamond"/>
          <w:b/>
          <w:sz w:val="24"/>
          <w:szCs w:val="24"/>
        </w:rPr>
        <w:t>DETERMINA</w:t>
      </w:r>
    </w:p>
    <w:p w:rsidR="00FC256E" w:rsidRPr="005D5FA8" w:rsidRDefault="00FC256E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F7C81" w:rsidRDefault="00D12948" w:rsidP="0079268B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AF7C81">
        <w:rPr>
          <w:rFonts w:ascii="Garamond" w:hAnsi="Garamond"/>
          <w:sz w:val="24"/>
          <w:szCs w:val="24"/>
        </w:rPr>
        <w:t xml:space="preserve">di </w:t>
      </w:r>
      <w:r w:rsidR="00AF7C81" w:rsidRPr="00AF7C81">
        <w:rPr>
          <w:rFonts w:ascii="Garamond" w:hAnsi="Garamond"/>
          <w:sz w:val="24"/>
          <w:szCs w:val="24"/>
        </w:rPr>
        <w:t xml:space="preserve">rendere la narrativa che precede parte integrante del presente dispositivo; </w:t>
      </w:r>
    </w:p>
    <w:p w:rsidR="00AF7C81" w:rsidRDefault="00D12948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AF7C81">
        <w:rPr>
          <w:rFonts w:ascii="Garamond" w:hAnsi="Garamond"/>
          <w:sz w:val="24"/>
          <w:szCs w:val="24"/>
        </w:rPr>
        <w:t xml:space="preserve">di </w:t>
      </w:r>
      <w:r w:rsidR="00897F74">
        <w:rPr>
          <w:rFonts w:ascii="Garamond" w:hAnsi="Garamond"/>
          <w:sz w:val="24"/>
          <w:szCs w:val="24"/>
        </w:rPr>
        <w:t xml:space="preserve">autorizzare l’Amministrazione Comunale in forza della convenzione in premessa ad </w:t>
      </w:r>
      <w:r w:rsidR="00AF7C81" w:rsidRPr="00AF7C81">
        <w:rPr>
          <w:rFonts w:ascii="Garamond" w:hAnsi="Garamond"/>
          <w:sz w:val="24"/>
          <w:szCs w:val="24"/>
        </w:rPr>
        <w:t xml:space="preserve">indire la procedura </w:t>
      </w:r>
      <w:r w:rsidR="00AC5BD9">
        <w:rPr>
          <w:rFonts w:ascii="Garamond" w:hAnsi="Garamond"/>
          <w:sz w:val="24"/>
          <w:szCs w:val="24"/>
        </w:rPr>
        <w:t xml:space="preserve">aperta </w:t>
      </w:r>
      <w:r w:rsidR="00AF7C81" w:rsidRPr="00AF7C81">
        <w:rPr>
          <w:rFonts w:ascii="Garamond" w:hAnsi="Garamond"/>
          <w:sz w:val="24"/>
          <w:szCs w:val="24"/>
        </w:rPr>
        <w:t>ai sensi dell’art. 6</w:t>
      </w:r>
      <w:r w:rsidR="00897F74">
        <w:rPr>
          <w:rFonts w:ascii="Garamond" w:hAnsi="Garamond"/>
          <w:sz w:val="24"/>
          <w:szCs w:val="24"/>
        </w:rPr>
        <w:t>0</w:t>
      </w:r>
      <w:r w:rsidR="00AF7C81" w:rsidRPr="00AF7C81">
        <w:rPr>
          <w:rFonts w:ascii="Garamond" w:hAnsi="Garamond"/>
          <w:sz w:val="24"/>
          <w:szCs w:val="24"/>
        </w:rPr>
        <w:t xml:space="preserve"> del D.Lgs. 50/2016</w:t>
      </w:r>
      <w:r w:rsidR="00897F74">
        <w:rPr>
          <w:rFonts w:ascii="Garamond" w:hAnsi="Garamond"/>
          <w:sz w:val="24"/>
          <w:szCs w:val="24"/>
        </w:rPr>
        <w:t xml:space="preserve"> </w:t>
      </w:r>
      <w:r w:rsidR="00AF7C81" w:rsidRPr="00AF7C81">
        <w:rPr>
          <w:rFonts w:ascii="Garamond" w:hAnsi="Garamond"/>
          <w:sz w:val="24"/>
          <w:szCs w:val="24"/>
        </w:rPr>
        <w:t>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atto che, ai sensi dell’articolo 32, comma 2, del D.Lgs. 50/2016:</w:t>
      </w:r>
    </w:p>
    <w:p w:rsidR="00B93D40" w:rsidRDefault="00C42403" w:rsidP="00B93D40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L’oggetto del</w:t>
      </w:r>
      <w:r w:rsidR="00B93D40">
        <w:rPr>
          <w:rFonts w:ascii="Garamond" w:hAnsi="Garamond"/>
          <w:sz w:val="24"/>
          <w:szCs w:val="24"/>
        </w:rPr>
        <w:t xml:space="preserve"> contratto è l’affidamento del </w:t>
      </w:r>
      <w:r w:rsidR="00897F74">
        <w:rPr>
          <w:rFonts w:ascii="Garamond" w:hAnsi="Garamond"/>
          <w:sz w:val="24"/>
          <w:szCs w:val="24"/>
        </w:rPr>
        <w:t xml:space="preserve">servizio di refezione scolastica alle scuole dell’infanzia, primarie e secondarie di </w:t>
      </w:r>
      <w:proofErr w:type="spellStart"/>
      <w:r w:rsidR="00897F74">
        <w:rPr>
          <w:rFonts w:ascii="Garamond" w:hAnsi="Garamond"/>
          <w:sz w:val="24"/>
          <w:szCs w:val="24"/>
        </w:rPr>
        <w:t>I°</w:t>
      </w:r>
      <w:proofErr w:type="spellEnd"/>
      <w:r w:rsidR="00897F74">
        <w:rPr>
          <w:rFonts w:ascii="Garamond" w:hAnsi="Garamond"/>
          <w:sz w:val="24"/>
          <w:szCs w:val="24"/>
        </w:rPr>
        <w:t xml:space="preserve"> grado nel territorio del Comune d</w:t>
      </w:r>
      <w:r>
        <w:rPr>
          <w:rFonts w:ascii="Garamond" w:hAnsi="Garamond"/>
          <w:sz w:val="24"/>
          <w:szCs w:val="24"/>
        </w:rPr>
        <w:t>i Venezia</w:t>
      </w:r>
      <w:r w:rsidR="00B93D40">
        <w:rPr>
          <w:rFonts w:ascii="Garamond" w:hAnsi="Garamond"/>
          <w:sz w:val="24"/>
          <w:szCs w:val="24"/>
        </w:rPr>
        <w:t xml:space="preserve"> al fine di </w:t>
      </w:r>
      <w:r w:rsidRPr="00B93D40">
        <w:rPr>
          <w:rFonts w:ascii="Garamond" w:hAnsi="Garamond"/>
          <w:sz w:val="24"/>
          <w:szCs w:val="24"/>
        </w:rPr>
        <w:t xml:space="preserve">soddisfare i bisogni collettivi nell’ambito dell’istruzione pubblica nel rispetto dei principi di </w:t>
      </w:r>
      <w:r w:rsidR="00B93D40">
        <w:rPr>
          <w:rFonts w:ascii="Garamond" w:hAnsi="Garamond"/>
          <w:sz w:val="24"/>
          <w:szCs w:val="24"/>
        </w:rPr>
        <w:t>qualità e sicurezza;</w:t>
      </w:r>
    </w:p>
    <w:p w:rsidR="00B93D40" w:rsidRPr="00B93D40" w:rsidRDefault="00587F29" w:rsidP="00B93D40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93D40">
        <w:rPr>
          <w:rFonts w:ascii="Garamond" w:hAnsi="Garamond"/>
          <w:sz w:val="24"/>
          <w:szCs w:val="24"/>
        </w:rPr>
        <w:t>Il contratto, con imposta di bollo a carico dell’aggiudicatario, sarà stipulato in formato elettronico con firma digitale;</w:t>
      </w:r>
    </w:p>
    <w:p w:rsidR="00B93D40" w:rsidRPr="00B93D40" w:rsidRDefault="00587F29" w:rsidP="00B93D40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93D40">
        <w:rPr>
          <w:rFonts w:ascii="Garamond" w:hAnsi="Garamond"/>
          <w:sz w:val="24"/>
          <w:szCs w:val="24"/>
        </w:rPr>
        <w:lastRenderedPageBreak/>
        <w:t xml:space="preserve">L’esecuzione della prestazione dovrà svolgersi nell’arco di </w:t>
      </w:r>
      <w:r w:rsidR="00B93D40" w:rsidRPr="00B93D40">
        <w:rPr>
          <w:rFonts w:ascii="Garamond" w:hAnsi="Garamond"/>
          <w:sz w:val="24"/>
          <w:szCs w:val="24"/>
        </w:rPr>
        <w:t>sei anni</w:t>
      </w:r>
      <w:r w:rsidRPr="00B93D40">
        <w:rPr>
          <w:rFonts w:ascii="Garamond" w:hAnsi="Garamond"/>
          <w:sz w:val="24"/>
          <w:szCs w:val="24"/>
        </w:rPr>
        <w:t xml:space="preserve"> </w:t>
      </w:r>
      <w:proofErr w:type="spellStart"/>
      <w:r w:rsidRPr="00B93D40">
        <w:rPr>
          <w:rFonts w:ascii="Garamond" w:hAnsi="Garamond"/>
          <w:sz w:val="24"/>
          <w:szCs w:val="24"/>
        </w:rPr>
        <w:t>anni</w:t>
      </w:r>
      <w:proofErr w:type="spellEnd"/>
      <w:r w:rsidRPr="00B93D40">
        <w:rPr>
          <w:rFonts w:ascii="Garamond" w:hAnsi="Garamond"/>
          <w:sz w:val="24"/>
          <w:szCs w:val="24"/>
        </w:rPr>
        <w:t xml:space="preserve"> decorrenti </w:t>
      </w:r>
      <w:proofErr w:type="spellStart"/>
      <w:r w:rsidR="00B93D40" w:rsidRPr="00B93D40">
        <w:rPr>
          <w:rFonts w:ascii="Garamond" w:hAnsi="Garamond"/>
          <w:sz w:val="24"/>
          <w:szCs w:val="24"/>
        </w:rPr>
        <w:t>decorrenti</w:t>
      </w:r>
      <w:proofErr w:type="spellEnd"/>
      <w:r w:rsidR="00B93D40" w:rsidRPr="00B93D40">
        <w:rPr>
          <w:rFonts w:ascii="Garamond" w:hAnsi="Garamond"/>
          <w:sz w:val="24"/>
          <w:szCs w:val="24"/>
        </w:rPr>
        <w:t xml:space="preserve"> dal 1 settembre 2018 fino al termine dell’anno scolastico 2023/2024;</w:t>
      </w:r>
    </w:p>
    <w:p w:rsidR="00B93D40" w:rsidRPr="00B93D40" w:rsidRDefault="00587F29" w:rsidP="00B93D40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93D40">
        <w:rPr>
          <w:rFonts w:ascii="Garamond" w:hAnsi="Garamond"/>
          <w:sz w:val="24"/>
          <w:szCs w:val="24"/>
        </w:rPr>
        <w:t xml:space="preserve">L’importo a base d’asta dell’appalto, IVA esclusa, ammonta ad € </w:t>
      </w:r>
      <w:r w:rsidR="00B93D40" w:rsidRPr="00B93D40">
        <w:rPr>
          <w:rFonts w:ascii="Garamond" w:hAnsi="Garamond"/>
          <w:sz w:val="24"/>
          <w:szCs w:val="24"/>
        </w:rPr>
        <w:t>49</w:t>
      </w:r>
      <w:r w:rsidRPr="00B93D40">
        <w:rPr>
          <w:rFonts w:ascii="Garamond" w:hAnsi="Garamond"/>
          <w:sz w:val="24"/>
          <w:szCs w:val="24"/>
        </w:rPr>
        <w:t>.</w:t>
      </w:r>
      <w:r w:rsidR="00B93D40" w:rsidRPr="00B93D40">
        <w:rPr>
          <w:rFonts w:ascii="Garamond" w:hAnsi="Garamond"/>
          <w:sz w:val="24"/>
          <w:szCs w:val="24"/>
        </w:rPr>
        <w:t>796</w:t>
      </w:r>
      <w:r w:rsidR="00B93D40">
        <w:rPr>
          <w:rFonts w:ascii="Garamond" w:hAnsi="Garamond"/>
          <w:sz w:val="24"/>
          <w:szCs w:val="24"/>
        </w:rPr>
        <w:t>.</w:t>
      </w:r>
      <w:r w:rsidR="00B93D40" w:rsidRPr="00B93D40">
        <w:rPr>
          <w:rFonts w:ascii="Garamond" w:hAnsi="Garamond"/>
          <w:sz w:val="24"/>
          <w:szCs w:val="24"/>
        </w:rPr>
        <w:t>547</w:t>
      </w:r>
      <w:r w:rsidRPr="00B93D40">
        <w:rPr>
          <w:rFonts w:ascii="Garamond" w:hAnsi="Garamond"/>
          <w:sz w:val="24"/>
          <w:szCs w:val="24"/>
        </w:rPr>
        <w:t>,00=</w:t>
      </w:r>
    </w:p>
    <w:p w:rsidR="00B93D40" w:rsidRPr="00B93D40" w:rsidRDefault="00B93D40" w:rsidP="00B93D40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93D40">
        <w:rPr>
          <w:rFonts w:ascii="Garamond" w:hAnsi="Garamond"/>
          <w:sz w:val="24"/>
          <w:szCs w:val="24"/>
        </w:rPr>
        <w:t>L’importo degli oneri per la sicurezza da interferenze non soggetto a ribasso è pari ad € 7.500,00= IVA esclusa;</w:t>
      </w:r>
    </w:p>
    <w:p w:rsidR="00D928A0" w:rsidRPr="00B93D40" w:rsidRDefault="00D928A0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93D40">
        <w:rPr>
          <w:rFonts w:ascii="Garamond" w:hAnsi="Garamond"/>
          <w:sz w:val="24"/>
          <w:szCs w:val="24"/>
        </w:rPr>
        <w:t>Ai fini dell’art. 35, comma 4 del Codice, il valore massimo stimato dell’appalto,</w:t>
      </w:r>
      <w:r w:rsidR="00E02F2D" w:rsidRPr="00B93D40">
        <w:rPr>
          <w:rFonts w:ascii="Garamond" w:hAnsi="Garamond"/>
          <w:sz w:val="24"/>
          <w:szCs w:val="24"/>
        </w:rPr>
        <w:t xml:space="preserve"> comprensivo di opzioni e proroga tecnica</w:t>
      </w:r>
      <w:r w:rsidRPr="00B93D40">
        <w:rPr>
          <w:rFonts w:ascii="Garamond" w:hAnsi="Garamond"/>
          <w:sz w:val="24"/>
          <w:szCs w:val="24"/>
        </w:rPr>
        <w:t xml:space="preserve"> è pari ad € </w:t>
      </w:r>
      <w:r w:rsidR="00B93D40">
        <w:rPr>
          <w:rFonts w:ascii="Garamond" w:hAnsi="Garamond"/>
          <w:sz w:val="24"/>
          <w:szCs w:val="24"/>
        </w:rPr>
        <w:t>52</w:t>
      </w:r>
      <w:r w:rsidRPr="00B93D40">
        <w:rPr>
          <w:rFonts w:ascii="Garamond" w:hAnsi="Garamond"/>
          <w:sz w:val="24"/>
          <w:szCs w:val="24"/>
        </w:rPr>
        <w:t>.</w:t>
      </w:r>
      <w:r w:rsidR="00B93D40">
        <w:rPr>
          <w:rFonts w:ascii="Garamond" w:hAnsi="Garamond"/>
          <w:sz w:val="24"/>
          <w:szCs w:val="24"/>
        </w:rPr>
        <w:t>968</w:t>
      </w:r>
      <w:r w:rsidRPr="00B93D40">
        <w:rPr>
          <w:rFonts w:ascii="Garamond" w:hAnsi="Garamond"/>
          <w:sz w:val="24"/>
          <w:szCs w:val="24"/>
        </w:rPr>
        <w:t>.</w:t>
      </w:r>
      <w:r w:rsidR="00B93D40">
        <w:rPr>
          <w:rFonts w:ascii="Garamond" w:hAnsi="Garamond"/>
          <w:sz w:val="24"/>
          <w:szCs w:val="24"/>
        </w:rPr>
        <w:t>187</w:t>
      </w:r>
      <w:r w:rsidRPr="00B93D40">
        <w:rPr>
          <w:rFonts w:ascii="Garamond" w:hAnsi="Garamond"/>
          <w:sz w:val="24"/>
          <w:szCs w:val="24"/>
        </w:rPr>
        <w:t>,00</w:t>
      </w:r>
      <w:r w:rsidR="00E02F2D" w:rsidRPr="00B93D40">
        <w:rPr>
          <w:rFonts w:ascii="Garamond" w:hAnsi="Garamond"/>
          <w:sz w:val="24"/>
          <w:szCs w:val="24"/>
        </w:rPr>
        <w:t>=</w:t>
      </w:r>
      <w:r w:rsidRPr="00B93D40">
        <w:rPr>
          <w:rFonts w:ascii="Garamond" w:hAnsi="Garamond"/>
          <w:i/>
          <w:sz w:val="24"/>
          <w:szCs w:val="24"/>
        </w:rPr>
        <w:t xml:space="preserve"> </w:t>
      </w:r>
      <w:r w:rsidRPr="00B93D40">
        <w:rPr>
          <w:rFonts w:ascii="Garamond" w:hAnsi="Garamond"/>
          <w:sz w:val="24"/>
          <w:szCs w:val="24"/>
        </w:rPr>
        <w:t>al netto di Iva e/o di altre imposte e contributi di legge</w:t>
      </w:r>
      <w:r w:rsidR="00B93D40">
        <w:rPr>
          <w:rFonts w:ascii="Garamond" w:hAnsi="Garamond"/>
          <w:sz w:val="24"/>
          <w:szCs w:val="24"/>
        </w:rPr>
        <w:t xml:space="preserve"> nonché degli oneri della </w:t>
      </w:r>
      <w:proofErr w:type="spellStart"/>
      <w:r w:rsidR="00B93D40">
        <w:rPr>
          <w:rFonts w:ascii="Garamond" w:hAnsi="Garamond"/>
          <w:sz w:val="24"/>
          <w:szCs w:val="24"/>
        </w:rPr>
        <w:t>sicurezzavdovuti</w:t>
      </w:r>
      <w:proofErr w:type="spellEnd"/>
      <w:r w:rsidR="00B93D40">
        <w:rPr>
          <w:rFonts w:ascii="Garamond" w:hAnsi="Garamond"/>
          <w:sz w:val="24"/>
          <w:szCs w:val="24"/>
        </w:rPr>
        <w:t xml:space="preserve"> a rischi da interferenze;</w:t>
      </w:r>
    </w:p>
    <w:p w:rsidR="00587F29" w:rsidRPr="00B93D40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B93D40">
        <w:rPr>
          <w:rFonts w:ascii="Garamond" w:hAnsi="Garamond"/>
          <w:sz w:val="24"/>
          <w:szCs w:val="24"/>
        </w:rPr>
        <w:t>Il contraente sarà scelto tramite procedura</w:t>
      </w:r>
      <w:r w:rsidR="00C36353" w:rsidRPr="00B93D40">
        <w:rPr>
          <w:rFonts w:ascii="Garamond" w:hAnsi="Garamond"/>
          <w:sz w:val="24"/>
          <w:szCs w:val="24"/>
        </w:rPr>
        <w:t xml:space="preserve"> </w:t>
      </w:r>
      <w:r w:rsidR="00B93D40">
        <w:rPr>
          <w:rFonts w:ascii="Garamond" w:hAnsi="Garamond"/>
          <w:sz w:val="24"/>
          <w:szCs w:val="24"/>
        </w:rPr>
        <w:t>aperta</w:t>
      </w:r>
      <w:r w:rsidRPr="00B93D40">
        <w:rPr>
          <w:rFonts w:ascii="Garamond" w:hAnsi="Garamond"/>
          <w:sz w:val="24"/>
          <w:szCs w:val="24"/>
        </w:rPr>
        <w:t xml:space="preserve"> previa pubblicazione di un bando di gara ai sensi dell’art. 6</w:t>
      </w:r>
      <w:r w:rsidR="00B93D40">
        <w:rPr>
          <w:rFonts w:ascii="Garamond" w:hAnsi="Garamond"/>
          <w:sz w:val="24"/>
          <w:szCs w:val="24"/>
        </w:rPr>
        <w:t>0</w:t>
      </w:r>
      <w:r w:rsidRPr="00B93D40">
        <w:rPr>
          <w:rFonts w:ascii="Garamond" w:hAnsi="Garamond"/>
          <w:sz w:val="24"/>
          <w:szCs w:val="24"/>
        </w:rPr>
        <w:t xml:space="preserve"> del D.Lgs. 50/2016 e l’aggiudicazione avverrà sulla base del criterio dell’offerta economicamente più vantaggiosa ai sensi dell’articolo 95 del D.Lgs. 50/2016;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approvare la </w:t>
      </w:r>
      <w:proofErr w:type="spellStart"/>
      <w:r>
        <w:rPr>
          <w:rFonts w:ascii="Garamond" w:hAnsi="Garamond"/>
          <w:sz w:val="24"/>
          <w:szCs w:val="24"/>
        </w:rPr>
        <w:t>lex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specialis</w:t>
      </w:r>
      <w:proofErr w:type="spellEnd"/>
      <w:r>
        <w:rPr>
          <w:rFonts w:ascii="Garamond" w:hAnsi="Garamond"/>
          <w:sz w:val="24"/>
          <w:szCs w:val="24"/>
        </w:rPr>
        <w:t xml:space="preserve"> di gara e, segnatamente, il progetto</w:t>
      </w:r>
      <w:r w:rsidR="00C338F2">
        <w:rPr>
          <w:rFonts w:ascii="Garamond" w:hAnsi="Garamond"/>
          <w:sz w:val="24"/>
          <w:szCs w:val="24"/>
        </w:rPr>
        <w:t xml:space="preserve"> comprensivo del capitolato d’appalto e relativi allegati</w:t>
      </w:r>
      <w:r>
        <w:rPr>
          <w:rFonts w:ascii="Garamond" w:hAnsi="Garamond"/>
          <w:sz w:val="24"/>
          <w:szCs w:val="24"/>
        </w:rPr>
        <w:t>, il bando di gara, il disciplinare e relativi allegati che, inclusi nel presente provvedimento, ne costituiscono parte integrante ed essenziale;</w:t>
      </w:r>
    </w:p>
    <w:p w:rsidR="00C338F2" w:rsidRPr="00C338F2" w:rsidRDefault="00C338F2" w:rsidP="00C338F2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dare atto che è stato acquisito </w:t>
      </w:r>
      <w:proofErr w:type="spellStart"/>
      <w:r w:rsidRPr="00C338F2">
        <w:rPr>
          <w:rFonts w:ascii="Garamond" w:hAnsi="Garamond"/>
          <w:bCs/>
          <w:sz w:val="24"/>
          <w:szCs w:val="24"/>
        </w:rPr>
        <w:t>Acquisito</w:t>
      </w:r>
      <w:proofErr w:type="spellEnd"/>
      <w:r w:rsidRPr="00C338F2">
        <w:rPr>
          <w:rFonts w:ascii="Garamond" w:hAnsi="Garamond"/>
          <w:bCs/>
          <w:sz w:val="24"/>
          <w:szCs w:val="24"/>
        </w:rPr>
        <w:t xml:space="preserve"> da ANAC il n. CIG </w:t>
      </w:r>
      <w:r w:rsidR="008A286B" w:rsidRPr="008A286B">
        <w:rPr>
          <w:rFonts w:ascii="Garamond" w:hAnsi="Garamond"/>
          <w:b/>
          <w:bCs/>
          <w:sz w:val="24"/>
          <w:szCs w:val="24"/>
        </w:rPr>
        <w:t>7422524C90</w:t>
      </w:r>
      <w:r w:rsidR="008A286B">
        <w:rPr>
          <w:rFonts w:ascii="Garamond" w:hAnsi="Garamond"/>
          <w:bCs/>
          <w:sz w:val="24"/>
          <w:szCs w:val="24"/>
        </w:rPr>
        <w:t xml:space="preserve"> </w:t>
      </w:r>
      <w:r w:rsidRPr="00C338F2">
        <w:rPr>
          <w:rFonts w:ascii="Garamond" w:hAnsi="Garamond"/>
          <w:bCs/>
          <w:sz w:val="24"/>
          <w:szCs w:val="24"/>
        </w:rPr>
        <w:t>att</w:t>
      </w:r>
      <w:r>
        <w:rPr>
          <w:rFonts w:ascii="Garamond" w:hAnsi="Garamond"/>
          <w:bCs/>
          <w:sz w:val="24"/>
          <w:szCs w:val="24"/>
        </w:rPr>
        <w:t>ribuito alla presente procedura e</w:t>
      </w:r>
      <w:r w:rsidRPr="00C338F2">
        <w:rPr>
          <w:rFonts w:ascii="Garamond" w:hAnsi="Garamond"/>
          <w:bCs/>
          <w:sz w:val="24"/>
          <w:szCs w:val="24"/>
        </w:rPr>
        <w:t xml:space="preserve"> di disporre che, ai sensi dei disposti di cui alla legge 13/08/2010 n. 136 all’art. 3 “Tracciabilità dei flussi finanziari”, l’affidamento della prestazione (lavori, servizi forniture) è subordinato, a pena di nullità del contratto, all’assunzione degli obblighi di tracciabilità ed agli adempimenti integrali della citata normativa;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EF4AA0" w:rsidRPr="00587F29">
        <w:rPr>
          <w:rFonts w:ascii="Garamond" w:hAnsi="Garamond"/>
          <w:sz w:val="24"/>
          <w:szCs w:val="24"/>
        </w:rPr>
        <w:t xml:space="preserve">i dare atto che, ai sensi dell’art. 29 del </w:t>
      </w:r>
      <w:proofErr w:type="spellStart"/>
      <w:r w:rsidR="00EF4AA0" w:rsidRPr="00587F29">
        <w:rPr>
          <w:rFonts w:ascii="Garamond" w:hAnsi="Garamond"/>
          <w:sz w:val="24"/>
          <w:szCs w:val="24"/>
        </w:rPr>
        <w:t>d.lgs</w:t>
      </w:r>
      <w:proofErr w:type="spellEnd"/>
      <w:r w:rsidR="00EF4AA0" w:rsidRPr="00587F29">
        <w:rPr>
          <w:rFonts w:ascii="Garamond" w:hAnsi="Garamond"/>
          <w:sz w:val="24"/>
          <w:szCs w:val="24"/>
        </w:rPr>
        <w:t xml:space="preserve"> 50/2015, tutti gli atti relativi alla procedura in oggetto saranno pubblicati e aggiornati sul profilo del committente, nella sezione “Società trasparente”, </w:t>
      </w:r>
      <w:r>
        <w:rPr>
          <w:rFonts w:ascii="Garamond" w:hAnsi="Garamond"/>
          <w:sz w:val="24"/>
          <w:szCs w:val="24"/>
        </w:rPr>
        <w:t xml:space="preserve">in </w:t>
      </w:r>
      <w:r w:rsidR="00EF4AA0" w:rsidRPr="00587F29">
        <w:rPr>
          <w:rFonts w:ascii="Garamond" w:hAnsi="Garamond"/>
          <w:sz w:val="24"/>
          <w:szCs w:val="24"/>
        </w:rPr>
        <w:t>applicazione delle disposizioni di cui al decreto legislativo 14 marzo 2013, n. 33;</w:t>
      </w:r>
    </w:p>
    <w:p w:rsidR="006D2A42" w:rsidRPr="00587F29" w:rsidRDefault="005F2B18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6D2A42" w:rsidRPr="00587F29">
        <w:rPr>
          <w:rFonts w:ascii="Garamond" w:hAnsi="Garamond"/>
          <w:sz w:val="24"/>
          <w:szCs w:val="24"/>
        </w:rPr>
        <w:t xml:space="preserve">i trasmettere il presente atto determinativo al </w:t>
      </w:r>
      <w:proofErr w:type="spellStart"/>
      <w:r w:rsidR="006D2A42" w:rsidRPr="00587F29">
        <w:rPr>
          <w:rFonts w:ascii="Garamond" w:hAnsi="Garamond"/>
          <w:sz w:val="24"/>
          <w:szCs w:val="24"/>
        </w:rPr>
        <w:t>R.U.P.</w:t>
      </w:r>
      <w:proofErr w:type="spellEnd"/>
      <w:r w:rsidR="006D2A42" w:rsidRPr="00587F29">
        <w:rPr>
          <w:rFonts w:ascii="Garamond" w:hAnsi="Garamond"/>
          <w:sz w:val="24"/>
          <w:szCs w:val="24"/>
        </w:rPr>
        <w:t>,</w:t>
      </w:r>
      <w:r w:rsidR="00B93D40">
        <w:rPr>
          <w:rFonts w:ascii="Garamond" w:hAnsi="Garamond"/>
          <w:sz w:val="24"/>
          <w:szCs w:val="24"/>
        </w:rPr>
        <w:t xml:space="preserve"> al Servizio Gare e Contratti del Comune di Venezia</w:t>
      </w:r>
      <w:r w:rsidR="006D2A42" w:rsidRPr="00587F29">
        <w:rPr>
          <w:rFonts w:ascii="Garamond" w:hAnsi="Garamond"/>
          <w:sz w:val="24"/>
          <w:szCs w:val="24"/>
        </w:rPr>
        <w:t xml:space="preserve"> e al R.P.C.T. per i successivi incombenti.</w:t>
      </w:r>
    </w:p>
    <w:p w:rsidR="006D2A42" w:rsidRPr="005D5FA8" w:rsidRDefault="006D2A42" w:rsidP="00C36353">
      <w:pPr>
        <w:spacing w:line="276" w:lineRule="auto"/>
        <w:jc w:val="both"/>
        <w:outlineLvl w:val="0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="00A21462"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>Il Direttore Generale</w:t>
      </w:r>
    </w:p>
    <w:p w:rsidR="006D2A42" w:rsidRPr="005D5FA8" w:rsidRDefault="006D2A42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  <w:t xml:space="preserve">     </w:t>
      </w:r>
      <w:r w:rsidR="008A4637">
        <w:rPr>
          <w:rFonts w:ascii="Garamond" w:hAnsi="Garamond"/>
          <w:sz w:val="24"/>
          <w:szCs w:val="24"/>
        </w:rPr>
        <w:t xml:space="preserve">     </w:t>
      </w:r>
      <w:r w:rsidRPr="005D5FA8">
        <w:rPr>
          <w:rFonts w:ascii="Garamond" w:hAnsi="Garamond"/>
          <w:sz w:val="24"/>
          <w:szCs w:val="24"/>
        </w:rPr>
        <w:t xml:space="preserve">Dott. Nicola </w:t>
      </w:r>
      <w:proofErr w:type="spellStart"/>
      <w:r w:rsidRPr="005D5FA8">
        <w:rPr>
          <w:rFonts w:ascii="Garamond" w:hAnsi="Garamond"/>
          <w:sz w:val="24"/>
          <w:szCs w:val="24"/>
        </w:rPr>
        <w:t>Cattozzo</w:t>
      </w:r>
      <w:proofErr w:type="spellEnd"/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sectPr w:rsidR="00C15E53" w:rsidRPr="005D5FA8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56" w:rsidRDefault="00431F56" w:rsidP="009805A0">
      <w:r>
        <w:separator/>
      </w:r>
    </w:p>
  </w:endnote>
  <w:endnote w:type="continuationSeparator" w:id="0">
    <w:p w:rsidR="00431F56" w:rsidRDefault="00431F56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44A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EB444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EB444A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56" w:rsidRDefault="00431F56" w:rsidP="009805A0">
      <w:r>
        <w:separator/>
      </w:r>
    </w:p>
  </w:footnote>
  <w:footnote w:type="continuationSeparator" w:id="0">
    <w:p w:rsidR="00431F56" w:rsidRDefault="00431F56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816"/>
    <w:multiLevelType w:val="hybridMultilevel"/>
    <w:tmpl w:val="9B92D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5CE4"/>
    <w:multiLevelType w:val="hybridMultilevel"/>
    <w:tmpl w:val="2CB0D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63393"/>
    <w:multiLevelType w:val="hybridMultilevel"/>
    <w:tmpl w:val="A468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25EFD"/>
    <w:multiLevelType w:val="hybridMultilevel"/>
    <w:tmpl w:val="DB1C72C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C7C68"/>
    <w:multiLevelType w:val="hybridMultilevel"/>
    <w:tmpl w:val="CBAC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A527F"/>
    <w:multiLevelType w:val="hybridMultilevel"/>
    <w:tmpl w:val="1B7E27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1269B"/>
    <w:multiLevelType w:val="hybridMultilevel"/>
    <w:tmpl w:val="8A3200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E3533"/>
    <w:multiLevelType w:val="hybridMultilevel"/>
    <w:tmpl w:val="554E19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4B"/>
    <w:multiLevelType w:val="hybridMultilevel"/>
    <w:tmpl w:val="1C30BD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B448D"/>
    <w:multiLevelType w:val="hybridMultilevel"/>
    <w:tmpl w:val="B5B43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D6F43"/>
    <w:multiLevelType w:val="hybridMultilevel"/>
    <w:tmpl w:val="177C6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6430A"/>
    <w:multiLevelType w:val="hybridMultilevel"/>
    <w:tmpl w:val="3BB63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73540"/>
    <w:multiLevelType w:val="hybridMultilevel"/>
    <w:tmpl w:val="3788C7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D21ABB"/>
    <w:multiLevelType w:val="hybridMultilevel"/>
    <w:tmpl w:val="559835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30270"/>
    <w:rsid w:val="0006107C"/>
    <w:rsid w:val="000A385F"/>
    <w:rsid w:val="000E2E2A"/>
    <w:rsid w:val="000E4A19"/>
    <w:rsid w:val="000F53BB"/>
    <w:rsid w:val="00130AE4"/>
    <w:rsid w:val="0013716F"/>
    <w:rsid w:val="001601EF"/>
    <w:rsid w:val="00185290"/>
    <w:rsid w:val="001F11DD"/>
    <w:rsid w:val="00261417"/>
    <w:rsid w:val="002832F9"/>
    <w:rsid w:val="00287570"/>
    <w:rsid w:val="002B71CB"/>
    <w:rsid w:val="002D0158"/>
    <w:rsid w:val="00302333"/>
    <w:rsid w:val="00305992"/>
    <w:rsid w:val="0032630A"/>
    <w:rsid w:val="0034388A"/>
    <w:rsid w:val="00422E87"/>
    <w:rsid w:val="00431F56"/>
    <w:rsid w:val="00456DAE"/>
    <w:rsid w:val="004867B3"/>
    <w:rsid w:val="004B637D"/>
    <w:rsid w:val="004E1732"/>
    <w:rsid w:val="004F19FF"/>
    <w:rsid w:val="00587F29"/>
    <w:rsid w:val="005D3B91"/>
    <w:rsid w:val="005D5FA8"/>
    <w:rsid w:val="005F2B18"/>
    <w:rsid w:val="00614A07"/>
    <w:rsid w:val="00641791"/>
    <w:rsid w:val="006462A3"/>
    <w:rsid w:val="006870E6"/>
    <w:rsid w:val="006D2A42"/>
    <w:rsid w:val="007106B6"/>
    <w:rsid w:val="00757904"/>
    <w:rsid w:val="007818D5"/>
    <w:rsid w:val="0079268B"/>
    <w:rsid w:val="00804C59"/>
    <w:rsid w:val="008260E3"/>
    <w:rsid w:val="0083360D"/>
    <w:rsid w:val="008851A9"/>
    <w:rsid w:val="00897F74"/>
    <w:rsid w:val="008A286B"/>
    <w:rsid w:val="008A4637"/>
    <w:rsid w:val="00970C25"/>
    <w:rsid w:val="009805A0"/>
    <w:rsid w:val="009C2720"/>
    <w:rsid w:val="009C4BBA"/>
    <w:rsid w:val="00A21462"/>
    <w:rsid w:val="00A238A5"/>
    <w:rsid w:val="00A71E96"/>
    <w:rsid w:val="00AC2B40"/>
    <w:rsid w:val="00AC5BD9"/>
    <w:rsid w:val="00AF1063"/>
    <w:rsid w:val="00AF7C81"/>
    <w:rsid w:val="00B332A1"/>
    <w:rsid w:val="00B618D7"/>
    <w:rsid w:val="00B93D40"/>
    <w:rsid w:val="00BA4CE7"/>
    <w:rsid w:val="00BD21A0"/>
    <w:rsid w:val="00BE5EE3"/>
    <w:rsid w:val="00C15E53"/>
    <w:rsid w:val="00C338F2"/>
    <w:rsid w:val="00C36353"/>
    <w:rsid w:val="00C42403"/>
    <w:rsid w:val="00CE0251"/>
    <w:rsid w:val="00D12948"/>
    <w:rsid w:val="00D57F03"/>
    <w:rsid w:val="00D76FCF"/>
    <w:rsid w:val="00D928A0"/>
    <w:rsid w:val="00DD0551"/>
    <w:rsid w:val="00DE1972"/>
    <w:rsid w:val="00DE2610"/>
    <w:rsid w:val="00E02F2D"/>
    <w:rsid w:val="00E46BC8"/>
    <w:rsid w:val="00E8139F"/>
    <w:rsid w:val="00EB444A"/>
    <w:rsid w:val="00EE4AA9"/>
    <w:rsid w:val="00EF4AA0"/>
    <w:rsid w:val="00EF7DE7"/>
    <w:rsid w:val="00F15385"/>
    <w:rsid w:val="00F23D10"/>
    <w:rsid w:val="00F864DD"/>
    <w:rsid w:val="00F87798"/>
    <w:rsid w:val="00FC256E"/>
    <w:rsid w:val="00FD3868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15E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18D5"/>
    <w:pPr>
      <w:ind w:left="720"/>
      <w:contextualSpacing/>
    </w:pPr>
  </w:style>
  <w:style w:type="paragraph" w:customStyle="1" w:styleId="Default">
    <w:name w:val="Default"/>
    <w:rsid w:val="0003027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635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36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1648-B0B5-4CB4-8D05-5D8E1B93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2</cp:revision>
  <cp:lastPrinted>2018-02-27T11:38:00Z</cp:lastPrinted>
  <dcterms:created xsi:type="dcterms:W3CDTF">2018-03-27T11:14:00Z</dcterms:created>
  <dcterms:modified xsi:type="dcterms:W3CDTF">2018-03-27T11:14:00Z</dcterms:modified>
</cp:coreProperties>
</file>