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UN BANDO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GARA PER L’ACQUISIZIONE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PRODOTTI </w:t>
            </w:r>
            <w:r w:rsidR="00CC7695">
              <w:rPr>
                <w:rFonts w:asciiTheme="majorHAnsi" w:hAnsiTheme="majorHAnsi" w:cs="Arial"/>
                <w:b/>
                <w:bCs/>
                <w:sz w:val="20"/>
                <w:szCs w:val="20"/>
              </w:rPr>
              <w:t xml:space="preserve">FARMACEUTICI E </w:t>
            </w:r>
            <w:r w:rsidR="009F5144" w:rsidRPr="009F5144">
              <w:rPr>
                <w:rFonts w:asciiTheme="majorHAnsi" w:hAnsiTheme="majorHAnsi" w:cs="Arial"/>
                <w:b/>
                <w:bCs/>
                <w:sz w:val="20"/>
                <w:szCs w:val="20"/>
              </w:rPr>
              <w:t>PARAFARMAC</w:t>
            </w:r>
            <w:r w:rsidR="00CC7695">
              <w:rPr>
                <w:rFonts w:asciiTheme="majorHAnsi" w:hAnsiTheme="majorHAnsi" w:cs="Arial"/>
                <w:b/>
                <w:bCs/>
                <w:sz w:val="20"/>
                <w:szCs w:val="20"/>
              </w:rPr>
              <w:t>EUTICI</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3121D3">
              <w:rPr>
                <w:rFonts w:asciiTheme="majorHAnsi" w:hAnsiTheme="majorHAnsi" w:cs="Arial"/>
                <w:b/>
                <w:sz w:val="20"/>
                <w:szCs w:val="20"/>
              </w:rPr>
              <w:t xml:space="preserve">DOMPE’ FARMACEUTICI </w:t>
            </w:r>
            <w:r w:rsidR="002B40AC" w:rsidRPr="009F5144">
              <w:rPr>
                <w:rFonts w:asciiTheme="majorHAnsi" w:hAnsiTheme="majorHAnsi" w:cs="Arial"/>
                <w:b/>
                <w:sz w:val="20"/>
                <w:szCs w:val="20"/>
                <w:u w:val="single"/>
              </w:rPr>
              <w:t>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3121D3" w:rsidP="00CC7695">
            <w:pPr>
              <w:autoSpaceDE w:val="0"/>
              <w:autoSpaceDN w:val="0"/>
              <w:adjustRightInd w:val="0"/>
              <w:rPr>
                <w:rFonts w:asciiTheme="majorHAnsi" w:hAnsiTheme="majorHAnsi" w:cs="Arial"/>
                <w:sz w:val="20"/>
                <w:szCs w:val="20"/>
              </w:rPr>
            </w:pPr>
            <w:r>
              <w:rPr>
                <w:rFonts w:asciiTheme="majorHAnsi" w:hAnsiTheme="majorHAnsi" w:cs="Arial"/>
                <w:sz w:val="20"/>
                <w:szCs w:val="20"/>
              </w:rPr>
              <w:t>DOMPE’ FARMACEUTICI</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3121D3">
              <w:rPr>
                <w:rFonts w:asciiTheme="majorHAnsi" w:hAnsiTheme="majorHAnsi" w:cs="Arial"/>
                <w:sz w:val="20"/>
                <w:szCs w:val="20"/>
              </w:rPr>
              <w:t>50</w:t>
            </w:r>
            <w:r w:rsidR="00F758C4">
              <w:rPr>
                <w:rFonts w:asciiTheme="majorHAnsi" w:hAnsiTheme="majorHAnsi" w:cs="Arial"/>
                <w:sz w:val="20"/>
                <w:szCs w:val="20"/>
              </w:rPr>
              <w:t>.000</w:t>
            </w:r>
            <w:r w:rsidRPr="00E060BB">
              <w:rPr>
                <w:rFonts w:asciiTheme="majorHAnsi" w:hAnsiTheme="majorHAnsi" w:cs="Arial"/>
                <w:sz w:val="20"/>
                <w:szCs w:val="20"/>
              </w:rPr>
              <w:t xml:space="preserve"> (</w:t>
            </w:r>
            <w:proofErr w:type="spellStart"/>
            <w:r w:rsidR="00CC7695">
              <w:rPr>
                <w:rFonts w:asciiTheme="majorHAnsi" w:hAnsiTheme="majorHAnsi" w:cs="Arial"/>
                <w:sz w:val="20"/>
                <w:szCs w:val="20"/>
              </w:rPr>
              <w:t>c</w:t>
            </w:r>
            <w:r w:rsidR="003121D3">
              <w:rPr>
                <w:rFonts w:asciiTheme="majorHAnsi" w:hAnsiTheme="majorHAnsi" w:cs="Arial"/>
                <w:sz w:val="20"/>
                <w:szCs w:val="20"/>
              </w:rPr>
              <w:t>inquantatami</w:t>
            </w:r>
            <w:r w:rsidR="009F5144">
              <w:rPr>
                <w:rFonts w:asciiTheme="majorHAnsi" w:hAnsiTheme="majorHAnsi" w:cs="Arial"/>
                <w:sz w:val="20"/>
                <w:szCs w:val="20"/>
              </w:rPr>
              <w:t>la</w:t>
            </w:r>
            <w:proofErr w:type="spellEnd"/>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3121D3">
              <w:rPr>
                <w:rFonts w:asciiTheme="majorHAnsi" w:hAnsiTheme="majorHAnsi" w:cs="Arial"/>
                <w:sz w:val="20"/>
                <w:szCs w:val="20"/>
              </w:rPr>
              <w:t>07</w:t>
            </w:r>
            <w:r w:rsidR="00317027">
              <w:rPr>
                <w:rFonts w:asciiTheme="majorHAnsi" w:hAnsiTheme="majorHAnsi" w:cs="Arial"/>
                <w:sz w:val="20"/>
                <w:szCs w:val="20"/>
              </w:rPr>
              <w:t>/0</w:t>
            </w:r>
            <w:r w:rsidR="003121D3">
              <w:rPr>
                <w:rFonts w:asciiTheme="majorHAnsi" w:hAnsiTheme="majorHAnsi" w:cs="Arial"/>
                <w:sz w:val="20"/>
                <w:szCs w:val="20"/>
              </w:rPr>
              <w:t>8</w:t>
            </w:r>
            <w:r w:rsidR="00317027">
              <w:rPr>
                <w:rFonts w:asciiTheme="majorHAnsi" w:hAnsiTheme="majorHAnsi" w:cs="Arial"/>
                <w:sz w:val="20"/>
                <w:szCs w:val="20"/>
              </w:rPr>
              <w:t>/2018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w:t>
      </w:r>
      <w:r w:rsidR="00CC7695">
        <w:rPr>
          <w:rFonts w:asciiTheme="majorHAnsi" w:hAnsiTheme="majorHAnsi"/>
        </w:rPr>
        <w:t xml:space="preserve">farmaceutici e </w:t>
      </w:r>
      <w:r w:rsidR="006A5AB2" w:rsidRPr="00960422">
        <w:rPr>
          <w:rFonts w:asciiTheme="majorHAnsi" w:hAnsiTheme="majorHAnsi"/>
        </w:rPr>
        <w:t>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3121D3">
        <w:rPr>
          <w:rFonts w:asciiTheme="majorHAnsi" w:hAnsiTheme="majorHAnsi" w:cs="Arial"/>
        </w:rPr>
        <w:t>DOMPE’ FARMACEUTICI</w:t>
      </w:r>
      <w:r w:rsidR="003871AF">
        <w:rPr>
          <w:rFonts w:asciiTheme="majorHAnsi" w:hAnsiTheme="majorHAnsi" w:cs="Arial"/>
        </w:rPr>
        <w:t xml:space="preserve"> S</w:t>
      </w:r>
      <w:r w:rsidR="00960422" w:rsidRPr="00960422">
        <w:rPr>
          <w:rFonts w:asciiTheme="majorHAnsi" w:hAnsiTheme="majorHAnsi" w:cs="Arial"/>
        </w:rPr>
        <w:t>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AF" w:rsidRDefault="003871AF" w:rsidP="009A16CD">
      <w:pPr>
        <w:spacing w:after="0" w:line="240" w:lineRule="auto"/>
      </w:pPr>
      <w:r>
        <w:separator/>
      </w:r>
    </w:p>
  </w:endnote>
  <w:endnote w:type="continuationSeparator" w:id="0">
    <w:p w:rsidR="003871AF" w:rsidRDefault="003871AF"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AF" w:rsidRDefault="003871AF" w:rsidP="009A16CD">
      <w:pPr>
        <w:spacing w:after="0" w:line="240" w:lineRule="auto"/>
      </w:pPr>
      <w:r>
        <w:separator/>
      </w:r>
    </w:p>
  </w:footnote>
  <w:footnote w:type="continuationSeparator" w:id="0">
    <w:p w:rsidR="003871AF" w:rsidRDefault="003871AF"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70A93"/>
    <w:rsid w:val="00197E4C"/>
    <w:rsid w:val="001C0D59"/>
    <w:rsid w:val="001D3B62"/>
    <w:rsid w:val="001D588A"/>
    <w:rsid w:val="001D6771"/>
    <w:rsid w:val="002019BB"/>
    <w:rsid w:val="00216D75"/>
    <w:rsid w:val="00263728"/>
    <w:rsid w:val="0029293A"/>
    <w:rsid w:val="002A419E"/>
    <w:rsid w:val="002B1C1C"/>
    <w:rsid w:val="002B40AC"/>
    <w:rsid w:val="002E0F6C"/>
    <w:rsid w:val="002F4C8C"/>
    <w:rsid w:val="00305FDC"/>
    <w:rsid w:val="003121D3"/>
    <w:rsid w:val="00314685"/>
    <w:rsid w:val="00317027"/>
    <w:rsid w:val="0032539F"/>
    <w:rsid w:val="0035709F"/>
    <w:rsid w:val="003640DB"/>
    <w:rsid w:val="00366471"/>
    <w:rsid w:val="003871AF"/>
    <w:rsid w:val="003B6EEC"/>
    <w:rsid w:val="0043358C"/>
    <w:rsid w:val="00433BB7"/>
    <w:rsid w:val="004616B7"/>
    <w:rsid w:val="004F0D06"/>
    <w:rsid w:val="005043A9"/>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83DFE"/>
    <w:rsid w:val="00F9502F"/>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B80D-242A-4AA5-A769-DA9726F0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1879</Words>
  <Characters>10715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2</cp:revision>
  <cp:lastPrinted>2018-06-12T09:48:00Z</cp:lastPrinted>
  <dcterms:created xsi:type="dcterms:W3CDTF">2018-07-24T08:28:00Z</dcterms:created>
  <dcterms:modified xsi:type="dcterms:W3CDTF">2018-07-24T08:28:00Z</dcterms:modified>
</cp:coreProperties>
</file>